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7A817" w14:textId="0C7117D9" w:rsidR="002A0770" w:rsidRPr="00581F63" w:rsidRDefault="002A0770" w:rsidP="002A0770">
      <w:pPr>
        <w:widowControl w:val="0"/>
        <w:tabs>
          <w:tab w:val="left" w:pos="11120"/>
        </w:tabs>
        <w:autoSpaceDE w:val="0"/>
        <w:autoSpaceDN w:val="0"/>
        <w:spacing w:after="0" w:line="240" w:lineRule="auto"/>
        <w:jc w:val="left"/>
        <w:rPr>
          <w:rFonts w:cs="Open Sans"/>
          <w:b/>
          <w:bCs/>
          <w:i/>
          <w:iCs/>
          <w:color w:val="FFFFFF" w:themeColor="background1"/>
          <w:sz w:val="28"/>
          <w:szCs w:val="28"/>
          <w:lang w:eastAsia="fr-FR"/>
        </w:rPr>
      </w:pPr>
      <w:r w:rsidRPr="00CB245E">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65408" behindDoc="1" locked="0" layoutInCell="1" allowOverlap="1" wp14:anchorId="69ACA7E9" wp14:editId="61665566">
                <wp:simplePos x="0" y="0"/>
                <wp:positionH relativeFrom="column">
                  <wp:posOffset>-895350</wp:posOffset>
                </wp:positionH>
                <wp:positionV relativeFrom="paragraph">
                  <wp:posOffset>-895350</wp:posOffset>
                </wp:positionV>
                <wp:extent cx="15144750" cy="10706100"/>
                <wp:effectExtent l="0" t="0" r="19050" b="19050"/>
                <wp:wrapNone/>
                <wp:docPr id="1383242804" name="Rectangle 4"/>
                <wp:cNvGraphicFramePr/>
                <a:graphic xmlns:a="http://schemas.openxmlformats.org/drawingml/2006/main">
                  <a:graphicData uri="http://schemas.microsoft.com/office/word/2010/wordprocessingShape">
                    <wps:wsp>
                      <wps:cNvSpPr/>
                      <wps:spPr>
                        <a:xfrm>
                          <a:off x="0" y="0"/>
                          <a:ext cx="15144750" cy="1070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5395F" id="Rectangle 4" o:spid="_x0000_s1026" style="position:absolute;margin-left:-70.5pt;margin-top:-70.5pt;width:1192.5pt;height:84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" fillcolor="#4472c4 [3204]" strokecolor="#09101d [484]" strokeweight="1pt"/>
            </w:pict>
          </mc:Fallback>
        </mc:AlternateContent>
      </w:r>
      <w:r w:rsidRPr="00CB245E">
        <w:rPr>
          <w:rFonts w:cs="Open Sans"/>
          <w:b/>
          <w:bCs/>
          <w:i/>
          <w:iCs/>
          <w:color w:val="FFFFFF" w:themeColor="background1"/>
          <w:szCs w:val="28"/>
          <w:lang w:eastAsia="fr-FR"/>
        </w:rPr>
        <w:t>M</w:t>
      </w:r>
      <w:r w:rsidRPr="00581F63">
        <w:rPr>
          <w:rFonts w:cs="Open Sans"/>
          <w:b/>
          <w:bCs/>
          <w:i/>
          <w:iCs/>
          <w:color w:val="FFFFFF" w:themeColor="background1"/>
          <w:sz w:val="28"/>
          <w:szCs w:val="28"/>
          <w:lang w:eastAsia="fr-FR"/>
        </w:rPr>
        <w:t>ODULE 4 – Audit fiscal et gestion de la contribution fiscale familiale</w:t>
      </w:r>
    </w:p>
    <w:p w14:paraId="5AA83E50" w14:textId="15CA0E6C" w:rsidR="002A0770" w:rsidRPr="00CB245E" w:rsidRDefault="00FB764F" w:rsidP="00FB764F">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r w:rsidRPr="00581F63">
        <w:rPr>
          <w:rFonts w:cs="Open Sans"/>
          <w:b/>
          <w:bCs/>
          <w:i/>
          <w:iCs/>
          <w:color w:val="FFFFFF" w:themeColor="background1"/>
          <w:sz w:val="28"/>
          <w:szCs w:val="28"/>
          <w:lang w:eastAsia="fr-FR"/>
        </w:rPr>
        <w:t>Leçon 4 : La fiscalité de la transmission à titre gratuit</w:t>
      </w:r>
      <w:r w:rsidR="002A0770" w:rsidRPr="00CB245E">
        <w:rPr>
          <w:rFonts w:cs="Open Sans"/>
          <w:b/>
          <w:bCs/>
          <w:i/>
          <w:iCs/>
          <w:color w:val="FFFFFF" w:themeColor="background1"/>
          <w:szCs w:val="28"/>
          <w:lang w:eastAsia="fr-FR"/>
        </w:rPr>
        <w:tab/>
      </w:r>
    </w:p>
    <w:p w14:paraId="036B799A" w14:textId="77777777" w:rsidR="002A0770" w:rsidRPr="00CB245E" w:rsidRDefault="002A0770" w:rsidP="00CB245E">
      <w:pPr>
        <w:pStyle w:val="CGPC-elearning"/>
      </w:pPr>
    </w:p>
    <w:p w14:paraId="4D24CA0F" w14:textId="77777777" w:rsidR="002A0770" w:rsidRPr="00CB245E" w:rsidRDefault="002A0770" w:rsidP="00CB245E">
      <w:pPr>
        <w:pStyle w:val="CGPC-elearning"/>
      </w:pPr>
    </w:p>
    <w:p w14:paraId="1768755F" w14:textId="77777777" w:rsidR="002A0770" w:rsidRPr="00CB245E" w:rsidRDefault="002A0770" w:rsidP="00CB245E">
      <w:pPr>
        <w:pStyle w:val="CGPC-elearning"/>
      </w:pPr>
    </w:p>
    <w:p w14:paraId="1D6B81C6" w14:textId="77777777" w:rsidR="002A0770" w:rsidRPr="00CB245E" w:rsidRDefault="002A0770" w:rsidP="00CB245E">
      <w:pPr>
        <w:pStyle w:val="CGPC-elearning"/>
      </w:pPr>
    </w:p>
    <w:p w14:paraId="405E4E9D" w14:textId="77777777" w:rsidR="002A0770" w:rsidRPr="00CB245E" w:rsidRDefault="002A0770" w:rsidP="00CB245E">
      <w:pPr>
        <w:pStyle w:val="CGPC-elearning"/>
      </w:pPr>
    </w:p>
    <w:p w14:paraId="7CFAB406" w14:textId="77777777" w:rsidR="002A0770" w:rsidRPr="00CB245E" w:rsidRDefault="002A0770" w:rsidP="00CB245E">
      <w:pPr>
        <w:pStyle w:val="CGPC-elearning"/>
      </w:pPr>
    </w:p>
    <w:p w14:paraId="38D945F6" w14:textId="77777777" w:rsidR="002A0770" w:rsidRPr="00CB245E" w:rsidRDefault="002A0770" w:rsidP="00CB245E">
      <w:pPr>
        <w:pStyle w:val="CGPC-elearning"/>
      </w:pPr>
    </w:p>
    <w:p w14:paraId="025DCAE8" w14:textId="77777777" w:rsidR="002A0770" w:rsidRPr="00CB245E" w:rsidRDefault="002A0770" w:rsidP="00CB245E">
      <w:pPr>
        <w:pStyle w:val="CGPC-elearning"/>
      </w:pPr>
    </w:p>
    <w:p w14:paraId="633DE645" w14:textId="77777777" w:rsidR="002A0770" w:rsidRPr="00CB245E" w:rsidRDefault="002A0770" w:rsidP="00CB245E">
      <w:pPr>
        <w:pStyle w:val="CGPC-elearning"/>
      </w:pPr>
    </w:p>
    <w:p w14:paraId="58B7C38D" w14:textId="50428B79" w:rsidR="002A0770" w:rsidRPr="00CB245E" w:rsidRDefault="002A0770" w:rsidP="002A0770">
      <w:pPr>
        <w:widowControl w:val="0"/>
        <w:autoSpaceDE w:val="0"/>
        <w:autoSpaceDN w:val="0"/>
        <w:spacing w:after="0" w:line="240" w:lineRule="auto"/>
        <w:jc w:val="left"/>
        <w:rPr>
          <w:rFonts w:ascii="Times New Roman" w:eastAsia="Verdana" w:hAnsi="Verdana" w:cs="Verdana"/>
          <w:color w:val="FFFFFF" w:themeColor="background1"/>
          <w:sz w:val="56"/>
          <w:szCs w:val="56"/>
        </w:rPr>
      </w:pPr>
      <w:r w:rsidRPr="00CB245E">
        <w:rPr>
          <w:rFonts w:cs="Open Sans"/>
          <w:b/>
          <w:bCs/>
          <w:color w:val="FFFFFF" w:themeColor="background1"/>
          <w:sz w:val="56"/>
          <w:szCs w:val="56"/>
          <w:lang w:eastAsia="fr-FR"/>
        </w:rPr>
        <w:t xml:space="preserve">Chapitre 1 : </w:t>
      </w:r>
      <w:r w:rsidR="000A5435" w:rsidRPr="00CB245E">
        <w:rPr>
          <w:rFonts w:cs="Open Sans"/>
          <w:b/>
          <w:bCs/>
          <w:color w:val="FFFFFF" w:themeColor="background1"/>
          <w:sz w:val="56"/>
          <w:szCs w:val="56"/>
          <w:lang w:eastAsia="fr-FR"/>
        </w:rPr>
        <w:t>Les successions</w:t>
      </w:r>
    </w:p>
    <w:p w14:paraId="1CD5EAF1" w14:textId="77777777" w:rsidR="002A0770" w:rsidRPr="00CB245E" w:rsidRDefault="002A0770" w:rsidP="00CB245E">
      <w:pPr>
        <w:pStyle w:val="CGPC-elearning"/>
      </w:pPr>
    </w:p>
    <w:p w14:paraId="55A2D68C" w14:textId="77777777" w:rsidR="002A0770" w:rsidRPr="00CB245E" w:rsidRDefault="002A0770" w:rsidP="00CB245E">
      <w:pPr>
        <w:pStyle w:val="CGPC-elearning"/>
      </w:pPr>
      <w:r w:rsidRPr="00CB245E">
        <w:br w:type="page"/>
      </w:r>
    </w:p>
    <w:sdt>
      <w:sdtPr>
        <w:id w:val="-308484914"/>
        <w:docPartObj>
          <w:docPartGallery w:val="Table of Contents"/>
          <w:docPartUnique/>
        </w:docPartObj>
      </w:sdtPr>
      <w:sdtEndPr>
        <w:rPr>
          <w:b/>
          <w:bCs/>
        </w:rPr>
      </w:sdtEndPr>
      <w:sdtContent>
        <w:p w14:paraId="33B661DD" w14:textId="24EB5AEF" w:rsidR="00B8067C" w:rsidRPr="00CB245E" w:rsidRDefault="00B8067C" w:rsidP="00B8067C">
          <w:pPr>
            <w:rPr>
              <w:szCs w:val="32"/>
            </w:rPr>
          </w:pPr>
          <w:r w:rsidRPr="00CB245E">
            <w:rPr>
              <w:szCs w:val="32"/>
            </w:rPr>
            <w:t>Table des matières</w:t>
          </w:r>
        </w:p>
        <w:p w14:paraId="7190A135" w14:textId="2708FFF9" w:rsidR="00B069B5" w:rsidRDefault="00B8067C">
          <w:pPr>
            <w:pStyle w:val="TM1"/>
            <w:tabs>
              <w:tab w:val="left" w:pos="480"/>
              <w:tab w:val="right" w:leader="dot" w:pos="20921"/>
            </w:tabs>
            <w:rPr>
              <w:rFonts w:asciiTheme="minorHAnsi" w:eastAsiaTheme="minorEastAsia" w:hAnsiTheme="minorHAnsi"/>
              <w:noProof/>
              <w:kern w:val="2"/>
              <w:sz w:val="24"/>
              <w:szCs w:val="24"/>
              <w:lang w:eastAsia="fr-FR"/>
              <w14:ligatures w14:val="standardContextual"/>
            </w:rPr>
          </w:pPr>
          <w:r w:rsidRPr="00CB245E">
            <w:rPr>
              <w:szCs w:val="32"/>
            </w:rPr>
            <w:fldChar w:fldCharType="begin"/>
          </w:r>
          <w:r w:rsidRPr="00CB245E">
            <w:rPr>
              <w:szCs w:val="32"/>
            </w:rPr>
            <w:instrText xml:space="preserve"> TOC \o "1-3" \h \z \u </w:instrText>
          </w:r>
          <w:r w:rsidRPr="00CB245E">
            <w:rPr>
              <w:szCs w:val="32"/>
            </w:rPr>
            <w:fldChar w:fldCharType="separate"/>
          </w:r>
          <w:hyperlink w:anchor="_Toc230697778" w:history="1">
            <w:r w:rsidR="00B069B5" w:rsidRPr="002F3DA3">
              <w:rPr>
                <w:rStyle w:val="Lienhypertexte"/>
                <w:noProof/>
              </w:rPr>
              <w:t>I.</w:t>
            </w:r>
            <w:r w:rsidR="00B069B5">
              <w:rPr>
                <w:rFonts w:asciiTheme="minorHAnsi" w:eastAsiaTheme="minorEastAsia" w:hAnsiTheme="minorHAnsi"/>
                <w:noProof/>
                <w:kern w:val="2"/>
                <w:sz w:val="24"/>
                <w:szCs w:val="24"/>
                <w:lang w:eastAsia="fr-FR"/>
                <w14:ligatures w14:val="standardContextual"/>
              </w:rPr>
              <w:tab/>
            </w:r>
            <w:r w:rsidR="00B069B5" w:rsidRPr="002F3DA3">
              <w:rPr>
                <w:rStyle w:val="Lienhypertexte"/>
                <w:noProof/>
              </w:rPr>
              <w:t>Rappel sur la territorialité</w:t>
            </w:r>
            <w:r w:rsidR="00B069B5">
              <w:rPr>
                <w:noProof/>
                <w:webHidden/>
              </w:rPr>
              <w:tab/>
            </w:r>
            <w:r w:rsidR="00B069B5">
              <w:rPr>
                <w:noProof/>
                <w:webHidden/>
              </w:rPr>
              <w:fldChar w:fldCharType="begin"/>
            </w:r>
            <w:r w:rsidR="00B069B5">
              <w:rPr>
                <w:noProof/>
                <w:webHidden/>
              </w:rPr>
              <w:instrText xml:space="preserve"> PAGEREF _Toc230697778 \h </w:instrText>
            </w:r>
            <w:r w:rsidR="00B069B5">
              <w:rPr>
                <w:noProof/>
                <w:webHidden/>
              </w:rPr>
            </w:r>
            <w:r w:rsidR="00B069B5">
              <w:rPr>
                <w:noProof/>
                <w:webHidden/>
              </w:rPr>
              <w:fldChar w:fldCharType="separate"/>
            </w:r>
            <w:r w:rsidR="00B069B5">
              <w:rPr>
                <w:noProof/>
                <w:webHidden/>
              </w:rPr>
              <w:t>3</w:t>
            </w:r>
            <w:r w:rsidR="00B069B5">
              <w:rPr>
                <w:noProof/>
                <w:webHidden/>
              </w:rPr>
              <w:fldChar w:fldCharType="end"/>
            </w:r>
          </w:hyperlink>
        </w:p>
        <w:p w14:paraId="54856397" w14:textId="77514BC4" w:rsidR="00B069B5" w:rsidRDefault="00B069B5">
          <w:pPr>
            <w:pStyle w:val="TM1"/>
            <w:tabs>
              <w:tab w:val="left" w:pos="720"/>
              <w:tab w:val="right" w:leader="dot" w:pos="20921"/>
            </w:tabs>
            <w:rPr>
              <w:rFonts w:asciiTheme="minorHAnsi" w:eastAsiaTheme="minorEastAsia" w:hAnsiTheme="minorHAnsi"/>
              <w:noProof/>
              <w:kern w:val="2"/>
              <w:sz w:val="24"/>
              <w:szCs w:val="24"/>
              <w:lang w:eastAsia="fr-FR"/>
              <w14:ligatures w14:val="standardContextual"/>
            </w:rPr>
          </w:pPr>
          <w:hyperlink w:anchor="_Toc230697779" w:history="1">
            <w:r w:rsidRPr="002F3DA3">
              <w:rPr>
                <w:rStyle w:val="Lienhypertexte"/>
                <w:noProof/>
              </w:rPr>
              <w:t>II.</w:t>
            </w:r>
            <w:r>
              <w:rPr>
                <w:rFonts w:asciiTheme="minorHAnsi" w:eastAsiaTheme="minorEastAsia" w:hAnsiTheme="minorHAnsi"/>
                <w:noProof/>
                <w:kern w:val="2"/>
                <w:sz w:val="24"/>
                <w:szCs w:val="24"/>
                <w:lang w:eastAsia="fr-FR"/>
                <w14:ligatures w14:val="standardContextual"/>
              </w:rPr>
              <w:tab/>
            </w:r>
            <w:r w:rsidRPr="002F3DA3">
              <w:rPr>
                <w:rStyle w:val="Lienhypertexte"/>
                <w:noProof/>
              </w:rPr>
              <w:t>Déclaration de succession</w:t>
            </w:r>
            <w:r>
              <w:rPr>
                <w:noProof/>
                <w:webHidden/>
              </w:rPr>
              <w:tab/>
            </w:r>
            <w:r>
              <w:rPr>
                <w:noProof/>
                <w:webHidden/>
              </w:rPr>
              <w:fldChar w:fldCharType="begin"/>
            </w:r>
            <w:r>
              <w:rPr>
                <w:noProof/>
                <w:webHidden/>
              </w:rPr>
              <w:instrText xml:space="preserve"> PAGEREF _Toc230697779 \h </w:instrText>
            </w:r>
            <w:r>
              <w:rPr>
                <w:noProof/>
                <w:webHidden/>
              </w:rPr>
            </w:r>
            <w:r>
              <w:rPr>
                <w:noProof/>
                <w:webHidden/>
              </w:rPr>
              <w:fldChar w:fldCharType="separate"/>
            </w:r>
            <w:r>
              <w:rPr>
                <w:noProof/>
                <w:webHidden/>
              </w:rPr>
              <w:t>5</w:t>
            </w:r>
            <w:r>
              <w:rPr>
                <w:noProof/>
                <w:webHidden/>
              </w:rPr>
              <w:fldChar w:fldCharType="end"/>
            </w:r>
          </w:hyperlink>
        </w:p>
        <w:p w14:paraId="1C4A8315" w14:textId="68D12FED" w:rsidR="00B069B5" w:rsidRDefault="00B069B5">
          <w:pPr>
            <w:pStyle w:val="TM2"/>
            <w:tabs>
              <w:tab w:val="right" w:leader="dot" w:pos="20921"/>
            </w:tabs>
            <w:rPr>
              <w:rFonts w:asciiTheme="minorHAnsi" w:eastAsiaTheme="minorEastAsia" w:hAnsiTheme="minorHAnsi"/>
              <w:noProof/>
              <w:kern w:val="2"/>
              <w:sz w:val="24"/>
              <w:szCs w:val="24"/>
              <w:lang w:eastAsia="fr-FR"/>
              <w14:ligatures w14:val="standardContextual"/>
            </w:rPr>
          </w:pPr>
          <w:hyperlink w:anchor="_Toc230697780" w:history="1">
            <w:r>
              <w:rPr>
                <w:noProof/>
                <w:webHidden/>
              </w:rPr>
              <w:tab/>
            </w:r>
            <w:r>
              <w:rPr>
                <w:noProof/>
                <w:webHidden/>
              </w:rPr>
              <w:fldChar w:fldCharType="begin"/>
            </w:r>
            <w:r>
              <w:rPr>
                <w:noProof/>
                <w:webHidden/>
              </w:rPr>
              <w:instrText xml:space="preserve"> PAGEREF _Toc230697780 \h </w:instrText>
            </w:r>
            <w:r>
              <w:rPr>
                <w:noProof/>
                <w:webHidden/>
              </w:rPr>
            </w:r>
            <w:r>
              <w:rPr>
                <w:noProof/>
                <w:webHidden/>
              </w:rPr>
              <w:fldChar w:fldCharType="separate"/>
            </w:r>
            <w:r>
              <w:rPr>
                <w:noProof/>
                <w:webHidden/>
              </w:rPr>
              <w:t>7</w:t>
            </w:r>
            <w:r>
              <w:rPr>
                <w:noProof/>
                <w:webHidden/>
              </w:rPr>
              <w:fldChar w:fldCharType="end"/>
            </w:r>
          </w:hyperlink>
        </w:p>
        <w:p w14:paraId="71936D54" w14:textId="7AC8A795" w:rsidR="00B069B5" w:rsidRDefault="00B069B5">
          <w:pPr>
            <w:pStyle w:val="TM1"/>
            <w:tabs>
              <w:tab w:val="left" w:pos="720"/>
              <w:tab w:val="right" w:leader="dot" w:pos="20921"/>
            </w:tabs>
            <w:rPr>
              <w:rFonts w:asciiTheme="minorHAnsi" w:eastAsiaTheme="minorEastAsia" w:hAnsiTheme="minorHAnsi"/>
              <w:noProof/>
              <w:kern w:val="2"/>
              <w:sz w:val="24"/>
              <w:szCs w:val="24"/>
              <w:lang w:eastAsia="fr-FR"/>
              <w14:ligatures w14:val="standardContextual"/>
            </w:rPr>
          </w:pPr>
          <w:hyperlink w:anchor="_Toc230697781" w:history="1">
            <w:r w:rsidRPr="002F3DA3">
              <w:rPr>
                <w:rStyle w:val="Lienhypertexte"/>
                <w:noProof/>
              </w:rPr>
              <w:t>III.</w:t>
            </w:r>
            <w:r>
              <w:rPr>
                <w:rFonts w:asciiTheme="minorHAnsi" w:eastAsiaTheme="minorEastAsia" w:hAnsiTheme="minorHAnsi"/>
                <w:noProof/>
                <w:kern w:val="2"/>
                <w:sz w:val="24"/>
                <w:szCs w:val="24"/>
                <w:lang w:eastAsia="fr-FR"/>
                <w14:ligatures w14:val="standardContextual"/>
              </w:rPr>
              <w:tab/>
            </w:r>
            <w:r w:rsidRPr="002F3DA3">
              <w:rPr>
                <w:rStyle w:val="Lienhypertexte"/>
                <w:noProof/>
              </w:rPr>
              <w:t>Évaluation du patrimoine (actif successoral)</w:t>
            </w:r>
            <w:r>
              <w:rPr>
                <w:noProof/>
                <w:webHidden/>
              </w:rPr>
              <w:tab/>
            </w:r>
            <w:r>
              <w:rPr>
                <w:noProof/>
                <w:webHidden/>
              </w:rPr>
              <w:fldChar w:fldCharType="begin"/>
            </w:r>
            <w:r>
              <w:rPr>
                <w:noProof/>
                <w:webHidden/>
              </w:rPr>
              <w:instrText xml:space="preserve"> PAGEREF _Toc230697781 \h </w:instrText>
            </w:r>
            <w:r>
              <w:rPr>
                <w:noProof/>
                <w:webHidden/>
              </w:rPr>
            </w:r>
            <w:r>
              <w:rPr>
                <w:noProof/>
                <w:webHidden/>
              </w:rPr>
              <w:fldChar w:fldCharType="separate"/>
            </w:r>
            <w:r>
              <w:rPr>
                <w:noProof/>
                <w:webHidden/>
              </w:rPr>
              <w:t>7</w:t>
            </w:r>
            <w:r>
              <w:rPr>
                <w:noProof/>
                <w:webHidden/>
              </w:rPr>
              <w:fldChar w:fldCharType="end"/>
            </w:r>
          </w:hyperlink>
        </w:p>
        <w:p w14:paraId="3FD63244" w14:textId="59964DB1"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82" w:history="1">
            <w:r w:rsidRPr="002F3DA3">
              <w:rPr>
                <w:rStyle w:val="Lienhypertexte"/>
                <w:noProof/>
              </w:rPr>
              <w:t>1.</w:t>
            </w:r>
            <w:r>
              <w:rPr>
                <w:rFonts w:asciiTheme="minorHAnsi" w:eastAsiaTheme="minorEastAsia" w:hAnsiTheme="minorHAnsi"/>
                <w:noProof/>
                <w:kern w:val="2"/>
                <w:sz w:val="24"/>
                <w:szCs w:val="24"/>
                <w:lang w:eastAsia="fr-FR"/>
                <w14:ligatures w14:val="standardContextual"/>
              </w:rPr>
              <w:tab/>
            </w:r>
            <w:r w:rsidRPr="002F3DA3">
              <w:rPr>
                <w:rStyle w:val="Lienhypertexte"/>
                <w:noProof/>
              </w:rPr>
              <w:t>Biens taxables :</w:t>
            </w:r>
            <w:r>
              <w:rPr>
                <w:noProof/>
                <w:webHidden/>
              </w:rPr>
              <w:tab/>
            </w:r>
            <w:r>
              <w:rPr>
                <w:noProof/>
                <w:webHidden/>
              </w:rPr>
              <w:fldChar w:fldCharType="begin"/>
            </w:r>
            <w:r>
              <w:rPr>
                <w:noProof/>
                <w:webHidden/>
              </w:rPr>
              <w:instrText xml:space="preserve"> PAGEREF _Toc230697782 \h </w:instrText>
            </w:r>
            <w:r>
              <w:rPr>
                <w:noProof/>
                <w:webHidden/>
              </w:rPr>
            </w:r>
            <w:r>
              <w:rPr>
                <w:noProof/>
                <w:webHidden/>
              </w:rPr>
              <w:fldChar w:fldCharType="separate"/>
            </w:r>
            <w:r>
              <w:rPr>
                <w:noProof/>
                <w:webHidden/>
              </w:rPr>
              <w:t>8</w:t>
            </w:r>
            <w:r>
              <w:rPr>
                <w:noProof/>
                <w:webHidden/>
              </w:rPr>
              <w:fldChar w:fldCharType="end"/>
            </w:r>
          </w:hyperlink>
        </w:p>
        <w:p w14:paraId="17533332" w14:textId="119E0A34"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83" w:history="1">
            <w:r w:rsidRPr="002F3DA3">
              <w:rPr>
                <w:rStyle w:val="Lienhypertexte"/>
                <w:noProof/>
              </w:rPr>
              <w:t>2.</w:t>
            </w:r>
            <w:r>
              <w:rPr>
                <w:rFonts w:asciiTheme="minorHAnsi" w:eastAsiaTheme="minorEastAsia" w:hAnsiTheme="minorHAnsi"/>
                <w:noProof/>
                <w:kern w:val="2"/>
                <w:sz w:val="24"/>
                <w:szCs w:val="24"/>
                <w:lang w:eastAsia="fr-FR"/>
                <w14:ligatures w14:val="standardContextual"/>
              </w:rPr>
              <w:tab/>
            </w:r>
            <w:r w:rsidRPr="002F3DA3">
              <w:rPr>
                <w:rStyle w:val="Lienhypertexte"/>
                <w:noProof/>
              </w:rPr>
              <w:t>LES BIENS EXONÉRÉS (totalement ou partiellement)</w:t>
            </w:r>
            <w:r>
              <w:rPr>
                <w:noProof/>
                <w:webHidden/>
              </w:rPr>
              <w:tab/>
            </w:r>
            <w:r>
              <w:rPr>
                <w:noProof/>
                <w:webHidden/>
              </w:rPr>
              <w:fldChar w:fldCharType="begin"/>
            </w:r>
            <w:r>
              <w:rPr>
                <w:noProof/>
                <w:webHidden/>
              </w:rPr>
              <w:instrText xml:space="preserve"> PAGEREF _Toc230697783 \h </w:instrText>
            </w:r>
            <w:r>
              <w:rPr>
                <w:noProof/>
                <w:webHidden/>
              </w:rPr>
            </w:r>
            <w:r>
              <w:rPr>
                <w:noProof/>
                <w:webHidden/>
              </w:rPr>
              <w:fldChar w:fldCharType="separate"/>
            </w:r>
            <w:r>
              <w:rPr>
                <w:noProof/>
                <w:webHidden/>
              </w:rPr>
              <w:t>10</w:t>
            </w:r>
            <w:r>
              <w:rPr>
                <w:noProof/>
                <w:webHidden/>
              </w:rPr>
              <w:fldChar w:fldCharType="end"/>
            </w:r>
          </w:hyperlink>
        </w:p>
        <w:p w14:paraId="6DDFCC7E" w14:textId="73039B7A" w:rsidR="00B069B5" w:rsidRDefault="00B069B5">
          <w:pPr>
            <w:pStyle w:val="TM3"/>
            <w:rPr>
              <w:rFonts w:asciiTheme="minorHAnsi" w:eastAsiaTheme="minorEastAsia" w:hAnsiTheme="minorHAnsi"/>
              <w:noProof/>
              <w:kern w:val="2"/>
              <w:sz w:val="24"/>
              <w:szCs w:val="24"/>
              <w:lang w:eastAsia="fr-FR"/>
              <w14:ligatures w14:val="standardContextual"/>
            </w:rPr>
          </w:pPr>
          <w:hyperlink w:anchor="_Toc230697784" w:history="1">
            <w:r w:rsidRPr="002F3DA3">
              <w:rPr>
                <w:rStyle w:val="Lienhypertexte"/>
                <w:noProof/>
              </w:rPr>
              <w:t>A.</w:t>
            </w:r>
            <w:r>
              <w:rPr>
                <w:rFonts w:asciiTheme="minorHAnsi" w:eastAsiaTheme="minorEastAsia" w:hAnsiTheme="minorHAnsi"/>
                <w:noProof/>
                <w:kern w:val="2"/>
                <w:sz w:val="24"/>
                <w:szCs w:val="24"/>
                <w:lang w:eastAsia="fr-FR"/>
                <w14:ligatures w14:val="standardContextual"/>
              </w:rPr>
              <w:tab/>
            </w:r>
            <w:r w:rsidRPr="002F3DA3">
              <w:rPr>
                <w:rStyle w:val="Lienhypertexte"/>
                <w:noProof/>
              </w:rPr>
              <w:t>Les capitaux d’assurance-vie versés en cas de décès</w:t>
            </w:r>
            <w:r>
              <w:rPr>
                <w:noProof/>
                <w:webHidden/>
              </w:rPr>
              <w:tab/>
            </w:r>
            <w:r>
              <w:rPr>
                <w:noProof/>
                <w:webHidden/>
              </w:rPr>
              <w:fldChar w:fldCharType="begin"/>
            </w:r>
            <w:r>
              <w:rPr>
                <w:noProof/>
                <w:webHidden/>
              </w:rPr>
              <w:instrText xml:space="preserve"> PAGEREF _Toc230697784 \h </w:instrText>
            </w:r>
            <w:r>
              <w:rPr>
                <w:noProof/>
                <w:webHidden/>
              </w:rPr>
            </w:r>
            <w:r>
              <w:rPr>
                <w:noProof/>
                <w:webHidden/>
              </w:rPr>
              <w:fldChar w:fldCharType="separate"/>
            </w:r>
            <w:r>
              <w:rPr>
                <w:noProof/>
                <w:webHidden/>
              </w:rPr>
              <w:t>10</w:t>
            </w:r>
            <w:r>
              <w:rPr>
                <w:noProof/>
                <w:webHidden/>
              </w:rPr>
              <w:fldChar w:fldCharType="end"/>
            </w:r>
          </w:hyperlink>
        </w:p>
        <w:p w14:paraId="3DB4FAFB" w14:textId="32896E6F" w:rsidR="00B069B5" w:rsidRDefault="00B069B5">
          <w:pPr>
            <w:pStyle w:val="TM3"/>
            <w:rPr>
              <w:rFonts w:asciiTheme="minorHAnsi" w:eastAsiaTheme="minorEastAsia" w:hAnsiTheme="minorHAnsi"/>
              <w:noProof/>
              <w:kern w:val="2"/>
              <w:sz w:val="24"/>
              <w:szCs w:val="24"/>
              <w:lang w:eastAsia="fr-FR"/>
              <w14:ligatures w14:val="standardContextual"/>
            </w:rPr>
          </w:pPr>
          <w:hyperlink w:anchor="_Toc230697785" w:history="1">
            <w:r w:rsidRPr="002F3DA3">
              <w:rPr>
                <w:rStyle w:val="Lienhypertexte"/>
                <w:noProof/>
              </w:rPr>
              <w:t>B.</w:t>
            </w:r>
            <w:r>
              <w:rPr>
                <w:rFonts w:asciiTheme="minorHAnsi" w:eastAsiaTheme="minorEastAsia" w:hAnsiTheme="minorHAnsi"/>
                <w:noProof/>
                <w:kern w:val="2"/>
                <w:sz w:val="24"/>
                <w:szCs w:val="24"/>
                <w:lang w:eastAsia="fr-FR"/>
                <w14:ligatures w14:val="standardContextual"/>
              </w:rPr>
              <w:tab/>
            </w:r>
            <w:r w:rsidRPr="002F3DA3">
              <w:rPr>
                <w:rStyle w:val="Lienhypertexte"/>
                <w:noProof/>
              </w:rPr>
              <w:t>Passif déductible</w:t>
            </w:r>
            <w:r>
              <w:rPr>
                <w:noProof/>
                <w:webHidden/>
              </w:rPr>
              <w:tab/>
            </w:r>
            <w:r>
              <w:rPr>
                <w:noProof/>
                <w:webHidden/>
              </w:rPr>
              <w:fldChar w:fldCharType="begin"/>
            </w:r>
            <w:r>
              <w:rPr>
                <w:noProof/>
                <w:webHidden/>
              </w:rPr>
              <w:instrText xml:space="preserve"> PAGEREF _Toc230697785 \h </w:instrText>
            </w:r>
            <w:r>
              <w:rPr>
                <w:noProof/>
                <w:webHidden/>
              </w:rPr>
            </w:r>
            <w:r>
              <w:rPr>
                <w:noProof/>
                <w:webHidden/>
              </w:rPr>
              <w:fldChar w:fldCharType="separate"/>
            </w:r>
            <w:r>
              <w:rPr>
                <w:noProof/>
                <w:webHidden/>
              </w:rPr>
              <w:t>11</w:t>
            </w:r>
            <w:r>
              <w:rPr>
                <w:noProof/>
                <w:webHidden/>
              </w:rPr>
              <w:fldChar w:fldCharType="end"/>
            </w:r>
          </w:hyperlink>
        </w:p>
        <w:p w14:paraId="630D36BD" w14:textId="08BF246B" w:rsidR="00B069B5" w:rsidRDefault="00B069B5">
          <w:pPr>
            <w:pStyle w:val="TM1"/>
            <w:tabs>
              <w:tab w:val="left" w:pos="720"/>
              <w:tab w:val="right" w:leader="dot" w:pos="20921"/>
            </w:tabs>
            <w:rPr>
              <w:rFonts w:asciiTheme="minorHAnsi" w:eastAsiaTheme="minorEastAsia" w:hAnsiTheme="minorHAnsi"/>
              <w:noProof/>
              <w:kern w:val="2"/>
              <w:sz w:val="24"/>
              <w:szCs w:val="24"/>
              <w:lang w:eastAsia="fr-FR"/>
              <w14:ligatures w14:val="standardContextual"/>
            </w:rPr>
          </w:pPr>
          <w:hyperlink w:anchor="_Toc230697786" w:history="1">
            <w:r w:rsidRPr="002F3DA3">
              <w:rPr>
                <w:rStyle w:val="Lienhypertexte"/>
                <w:noProof/>
              </w:rPr>
              <w:t>IV.</w:t>
            </w:r>
            <w:r>
              <w:rPr>
                <w:rFonts w:asciiTheme="minorHAnsi" w:eastAsiaTheme="minorEastAsia" w:hAnsiTheme="minorHAnsi"/>
                <w:noProof/>
                <w:kern w:val="2"/>
                <w:sz w:val="24"/>
                <w:szCs w:val="24"/>
                <w:lang w:eastAsia="fr-FR"/>
                <w14:ligatures w14:val="standardContextual"/>
              </w:rPr>
              <w:tab/>
            </w:r>
            <w:r w:rsidRPr="002F3DA3">
              <w:rPr>
                <w:rStyle w:val="Lienhypertexte"/>
                <w:noProof/>
              </w:rPr>
              <w:t>Mécanisme de calcul des droits de succession</w:t>
            </w:r>
            <w:r>
              <w:rPr>
                <w:noProof/>
                <w:webHidden/>
              </w:rPr>
              <w:tab/>
            </w:r>
            <w:r>
              <w:rPr>
                <w:noProof/>
                <w:webHidden/>
              </w:rPr>
              <w:fldChar w:fldCharType="begin"/>
            </w:r>
            <w:r>
              <w:rPr>
                <w:noProof/>
                <w:webHidden/>
              </w:rPr>
              <w:instrText xml:space="preserve"> PAGEREF _Toc230697786 \h </w:instrText>
            </w:r>
            <w:r>
              <w:rPr>
                <w:noProof/>
                <w:webHidden/>
              </w:rPr>
            </w:r>
            <w:r>
              <w:rPr>
                <w:noProof/>
                <w:webHidden/>
              </w:rPr>
              <w:fldChar w:fldCharType="separate"/>
            </w:r>
            <w:r>
              <w:rPr>
                <w:noProof/>
                <w:webHidden/>
              </w:rPr>
              <w:t>12</w:t>
            </w:r>
            <w:r>
              <w:rPr>
                <w:noProof/>
                <w:webHidden/>
              </w:rPr>
              <w:fldChar w:fldCharType="end"/>
            </w:r>
          </w:hyperlink>
        </w:p>
        <w:p w14:paraId="0CF9DC69" w14:textId="12DCD831"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87" w:history="1">
            <w:r w:rsidRPr="002F3DA3">
              <w:rPr>
                <w:rStyle w:val="Lienhypertexte"/>
                <w:noProof/>
              </w:rPr>
              <w:t>1.</w:t>
            </w:r>
            <w:r>
              <w:rPr>
                <w:rFonts w:asciiTheme="minorHAnsi" w:eastAsiaTheme="minorEastAsia" w:hAnsiTheme="minorHAnsi"/>
                <w:noProof/>
                <w:kern w:val="2"/>
                <w:sz w:val="24"/>
                <w:szCs w:val="24"/>
                <w:lang w:eastAsia="fr-FR"/>
                <w14:ligatures w14:val="standardContextual"/>
              </w:rPr>
              <w:tab/>
            </w:r>
            <w:r w:rsidRPr="002F3DA3">
              <w:rPr>
                <w:rStyle w:val="Lienhypertexte"/>
                <w:noProof/>
              </w:rPr>
              <w:t>Les personnes exonérées de droits de succession</w:t>
            </w:r>
            <w:r>
              <w:rPr>
                <w:noProof/>
                <w:webHidden/>
              </w:rPr>
              <w:tab/>
            </w:r>
            <w:r>
              <w:rPr>
                <w:noProof/>
                <w:webHidden/>
              </w:rPr>
              <w:fldChar w:fldCharType="begin"/>
            </w:r>
            <w:r>
              <w:rPr>
                <w:noProof/>
                <w:webHidden/>
              </w:rPr>
              <w:instrText xml:space="preserve"> PAGEREF _Toc230697787 \h </w:instrText>
            </w:r>
            <w:r>
              <w:rPr>
                <w:noProof/>
                <w:webHidden/>
              </w:rPr>
            </w:r>
            <w:r>
              <w:rPr>
                <w:noProof/>
                <w:webHidden/>
              </w:rPr>
              <w:fldChar w:fldCharType="separate"/>
            </w:r>
            <w:r>
              <w:rPr>
                <w:noProof/>
                <w:webHidden/>
              </w:rPr>
              <w:t>14</w:t>
            </w:r>
            <w:r>
              <w:rPr>
                <w:noProof/>
                <w:webHidden/>
              </w:rPr>
              <w:fldChar w:fldCharType="end"/>
            </w:r>
          </w:hyperlink>
        </w:p>
        <w:p w14:paraId="68896343" w14:textId="711AE737"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88" w:history="1">
            <w:r w:rsidRPr="002F3DA3">
              <w:rPr>
                <w:rStyle w:val="Lienhypertexte"/>
                <w:noProof/>
              </w:rPr>
              <w:t>2.</w:t>
            </w:r>
            <w:r>
              <w:rPr>
                <w:rFonts w:asciiTheme="minorHAnsi" w:eastAsiaTheme="minorEastAsia" w:hAnsiTheme="minorHAnsi"/>
                <w:noProof/>
                <w:kern w:val="2"/>
                <w:sz w:val="24"/>
                <w:szCs w:val="24"/>
                <w:lang w:eastAsia="fr-FR"/>
                <w14:ligatures w14:val="standardContextual"/>
              </w:rPr>
              <w:tab/>
            </w:r>
            <w:r w:rsidRPr="002F3DA3">
              <w:rPr>
                <w:rStyle w:val="Lienhypertexte"/>
                <w:noProof/>
              </w:rPr>
              <w:t>Les abattements liés au lien de parenté  :</w:t>
            </w:r>
            <w:r>
              <w:rPr>
                <w:noProof/>
                <w:webHidden/>
              </w:rPr>
              <w:tab/>
            </w:r>
            <w:r>
              <w:rPr>
                <w:noProof/>
                <w:webHidden/>
              </w:rPr>
              <w:fldChar w:fldCharType="begin"/>
            </w:r>
            <w:r>
              <w:rPr>
                <w:noProof/>
                <w:webHidden/>
              </w:rPr>
              <w:instrText xml:space="preserve"> PAGEREF _Toc230697788 \h </w:instrText>
            </w:r>
            <w:r>
              <w:rPr>
                <w:noProof/>
                <w:webHidden/>
              </w:rPr>
            </w:r>
            <w:r>
              <w:rPr>
                <w:noProof/>
                <w:webHidden/>
              </w:rPr>
              <w:fldChar w:fldCharType="separate"/>
            </w:r>
            <w:r>
              <w:rPr>
                <w:noProof/>
                <w:webHidden/>
              </w:rPr>
              <w:t>14</w:t>
            </w:r>
            <w:r>
              <w:rPr>
                <w:noProof/>
                <w:webHidden/>
              </w:rPr>
              <w:fldChar w:fldCharType="end"/>
            </w:r>
          </w:hyperlink>
        </w:p>
        <w:p w14:paraId="79B1E73D" w14:textId="1CF47E76"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89" w:history="1">
            <w:r w:rsidRPr="002F3DA3">
              <w:rPr>
                <w:rStyle w:val="Lienhypertexte"/>
                <w:noProof/>
              </w:rPr>
              <w:t>3.</w:t>
            </w:r>
            <w:r>
              <w:rPr>
                <w:rFonts w:asciiTheme="minorHAnsi" w:eastAsiaTheme="minorEastAsia" w:hAnsiTheme="minorHAnsi"/>
                <w:noProof/>
                <w:kern w:val="2"/>
                <w:sz w:val="24"/>
                <w:szCs w:val="24"/>
                <w:lang w:eastAsia="fr-FR"/>
                <w14:ligatures w14:val="standardContextual"/>
              </w:rPr>
              <w:tab/>
            </w:r>
            <w:r w:rsidRPr="002F3DA3">
              <w:rPr>
                <w:rStyle w:val="Lienhypertexte"/>
                <w:noProof/>
              </w:rPr>
              <w:t>Principe de la représentation</w:t>
            </w:r>
            <w:r>
              <w:rPr>
                <w:noProof/>
                <w:webHidden/>
              </w:rPr>
              <w:tab/>
            </w:r>
            <w:r>
              <w:rPr>
                <w:noProof/>
                <w:webHidden/>
              </w:rPr>
              <w:fldChar w:fldCharType="begin"/>
            </w:r>
            <w:r>
              <w:rPr>
                <w:noProof/>
                <w:webHidden/>
              </w:rPr>
              <w:instrText xml:space="preserve"> PAGEREF _Toc230697789 \h </w:instrText>
            </w:r>
            <w:r>
              <w:rPr>
                <w:noProof/>
                <w:webHidden/>
              </w:rPr>
            </w:r>
            <w:r>
              <w:rPr>
                <w:noProof/>
                <w:webHidden/>
              </w:rPr>
              <w:fldChar w:fldCharType="separate"/>
            </w:r>
            <w:r>
              <w:rPr>
                <w:noProof/>
                <w:webHidden/>
              </w:rPr>
              <w:t>15</w:t>
            </w:r>
            <w:r>
              <w:rPr>
                <w:noProof/>
                <w:webHidden/>
              </w:rPr>
              <w:fldChar w:fldCharType="end"/>
            </w:r>
          </w:hyperlink>
        </w:p>
        <w:p w14:paraId="39011090" w14:textId="38D750AE"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90" w:history="1">
            <w:r w:rsidRPr="002F3DA3">
              <w:rPr>
                <w:rStyle w:val="Lienhypertexte"/>
                <w:rFonts w:eastAsia="Times New Roman"/>
                <w:noProof/>
              </w:rPr>
              <w:t>4.</w:t>
            </w:r>
            <w:r>
              <w:rPr>
                <w:rFonts w:asciiTheme="minorHAnsi" w:eastAsiaTheme="minorEastAsia" w:hAnsiTheme="minorHAnsi"/>
                <w:noProof/>
                <w:kern w:val="2"/>
                <w:sz w:val="24"/>
                <w:szCs w:val="24"/>
                <w:lang w:eastAsia="fr-FR"/>
                <w14:ligatures w14:val="standardContextual"/>
              </w:rPr>
              <w:tab/>
            </w:r>
            <w:r w:rsidRPr="002F3DA3">
              <w:rPr>
                <w:rStyle w:val="Lienhypertexte"/>
                <w:rFonts w:eastAsia="Times New Roman"/>
                <w:noProof/>
              </w:rPr>
              <w:t>Les barèmes des droits de succession</w:t>
            </w:r>
            <w:r>
              <w:rPr>
                <w:noProof/>
                <w:webHidden/>
              </w:rPr>
              <w:tab/>
            </w:r>
            <w:r>
              <w:rPr>
                <w:noProof/>
                <w:webHidden/>
              </w:rPr>
              <w:fldChar w:fldCharType="begin"/>
            </w:r>
            <w:r>
              <w:rPr>
                <w:noProof/>
                <w:webHidden/>
              </w:rPr>
              <w:instrText xml:space="preserve"> PAGEREF _Toc230697790 \h </w:instrText>
            </w:r>
            <w:r>
              <w:rPr>
                <w:noProof/>
                <w:webHidden/>
              </w:rPr>
            </w:r>
            <w:r>
              <w:rPr>
                <w:noProof/>
                <w:webHidden/>
              </w:rPr>
              <w:fldChar w:fldCharType="separate"/>
            </w:r>
            <w:r>
              <w:rPr>
                <w:noProof/>
                <w:webHidden/>
              </w:rPr>
              <w:t>16</w:t>
            </w:r>
            <w:r>
              <w:rPr>
                <w:noProof/>
                <w:webHidden/>
              </w:rPr>
              <w:fldChar w:fldCharType="end"/>
            </w:r>
          </w:hyperlink>
        </w:p>
        <w:p w14:paraId="78E53276" w14:textId="07F73C75" w:rsidR="00B069B5" w:rsidRDefault="00B069B5">
          <w:pPr>
            <w:pStyle w:val="TM3"/>
            <w:rPr>
              <w:rFonts w:asciiTheme="minorHAnsi" w:eastAsiaTheme="minorEastAsia" w:hAnsiTheme="minorHAnsi"/>
              <w:noProof/>
              <w:kern w:val="2"/>
              <w:sz w:val="24"/>
              <w:szCs w:val="24"/>
              <w:lang w:eastAsia="fr-FR"/>
              <w14:ligatures w14:val="standardContextual"/>
            </w:rPr>
          </w:pPr>
          <w:hyperlink w:anchor="_Toc230697791" w:history="1">
            <w:r w:rsidRPr="002F3DA3">
              <w:rPr>
                <w:rStyle w:val="Lienhypertexte"/>
                <w:noProof/>
              </w:rPr>
              <w:t>A.</w:t>
            </w:r>
            <w:r>
              <w:rPr>
                <w:rFonts w:asciiTheme="minorHAnsi" w:eastAsiaTheme="minorEastAsia" w:hAnsiTheme="minorHAnsi"/>
                <w:noProof/>
                <w:kern w:val="2"/>
                <w:sz w:val="24"/>
                <w:szCs w:val="24"/>
                <w:lang w:eastAsia="fr-FR"/>
                <w14:ligatures w14:val="standardContextual"/>
              </w:rPr>
              <w:tab/>
            </w:r>
            <w:r w:rsidRPr="002F3DA3">
              <w:rPr>
                <w:rStyle w:val="Lienhypertexte"/>
                <w:noProof/>
              </w:rPr>
              <w:t>Exemples</w:t>
            </w:r>
            <w:r>
              <w:rPr>
                <w:noProof/>
                <w:webHidden/>
              </w:rPr>
              <w:tab/>
            </w:r>
            <w:r>
              <w:rPr>
                <w:noProof/>
                <w:webHidden/>
              </w:rPr>
              <w:fldChar w:fldCharType="begin"/>
            </w:r>
            <w:r>
              <w:rPr>
                <w:noProof/>
                <w:webHidden/>
              </w:rPr>
              <w:instrText xml:space="preserve"> PAGEREF _Toc230697791 \h </w:instrText>
            </w:r>
            <w:r>
              <w:rPr>
                <w:noProof/>
                <w:webHidden/>
              </w:rPr>
            </w:r>
            <w:r>
              <w:rPr>
                <w:noProof/>
                <w:webHidden/>
              </w:rPr>
              <w:fldChar w:fldCharType="separate"/>
            </w:r>
            <w:r>
              <w:rPr>
                <w:noProof/>
                <w:webHidden/>
              </w:rPr>
              <w:t>16</w:t>
            </w:r>
            <w:r>
              <w:rPr>
                <w:noProof/>
                <w:webHidden/>
              </w:rPr>
              <w:fldChar w:fldCharType="end"/>
            </w:r>
          </w:hyperlink>
        </w:p>
        <w:p w14:paraId="0BCDC405" w14:textId="7DDE5F6A" w:rsidR="00B069B5" w:rsidRDefault="00B069B5">
          <w:pPr>
            <w:pStyle w:val="TM3"/>
            <w:rPr>
              <w:rFonts w:asciiTheme="minorHAnsi" w:eastAsiaTheme="minorEastAsia" w:hAnsiTheme="minorHAnsi"/>
              <w:noProof/>
              <w:kern w:val="2"/>
              <w:sz w:val="24"/>
              <w:szCs w:val="24"/>
              <w:lang w:eastAsia="fr-FR"/>
              <w14:ligatures w14:val="standardContextual"/>
            </w:rPr>
          </w:pPr>
          <w:hyperlink w:anchor="_Toc230697792" w:history="1">
            <w:r w:rsidRPr="002F3DA3">
              <w:rPr>
                <w:rStyle w:val="Lienhypertexte"/>
                <w:noProof/>
              </w:rPr>
              <w:t>B.</w:t>
            </w:r>
            <w:r>
              <w:rPr>
                <w:rFonts w:asciiTheme="minorHAnsi" w:eastAsiaTheme="minorEastAsia" w:hAnsiTheme="minorHAnsi"/>
                <w:noProof/>
                <w:kern w:val="2"/>
                <w:sz w:val="24"/>
                <w:szCs w:val="24"/>
                <w:lang w:eastAsia="fr-FR"/>
                <w14:ligatures w14:val="standardContextual"/>
              </w:rPr>
              <w:tab/>
            </w:r>
            <w:r w:rsidRPr="002F3DA3">
              <w:rPr>
                <w:rStyle w:val="Lienhypertexte"/>
                <w:noProof/>
              </w:rPr>
              <w:t>Cas d’application</w:t>
            </w:r>
            <w:r>
              <w:rPr>
                <w:noProof/>
                <w:webHidden/>
              </w:rPr>
              <w:tab/>
            </w:r>
            <w:r>
              <w:rPr>
                <w:noProof/>
                <w:webHidden/>
              </w:rPr>
              <w:fldChar w:fldCharType="begin"/>
            </w:r>
            <w:r>
              <w:rPr>
                <w:noProof/>
                <w:webHidden/>
              </w:rPr>
              <w:instrText xml:space="preserve"> PAGEREF _Toc230697792 \h </w:instrText>
            </w:r>
            <w:r>
              <w:rPr>
                <w:noProof/>
                <w:webHidden/>
              </w:rPr>
            </w:r>
            <w:r>
              <w:rPr>
                <w:noProof/>
                <w:webHidden/>
              </w:rPr>
              <w:fldChar w:fldCharType="separate"/>
            </w:r>
            <w:r>
              <w:rPr>
                <w:noProof/>
                <w:webHidden/>
              </w:rPr>
              <w:t>17</w:t>
            </w:r>
            <w:r>
              <w:rPr>
                <w:noProof/>
                <w:webHidden/>
              </w:rPr>
              <w:fldChar w:fldCharType="end"/>
            </w:r>
          </w:hyperlink>
        </w:p>
        <w:p w14:paraId="6FE59DB3" w14:textId="1CAC02F0"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93" w:history="1">
            <w:r w:rsidRPr="002F3DA3">
              <w:rPr>
                <w:rStyle w:val="Lienhypertexte"/>
                <w:noProof/>
              </w:rPr>
              <w:t>5.</w:t>
            </w:r>
            <w:r>
              <w:rPr>
                <w:rFonts w:asciiTheme="minorHAnsi" w:eastAsiaTheme="minorEastAsia" w:hAnsiTheme="minorHAnsi"/>
                <w:noProof/>
                <w:kern w:val="2"/>
                <w:sz w:val="24"/>
                <w:szCs w:val="24"/>
                <w:lang w:eastAsia="fr-FR"/>
                <w14:ligatures w14:val="standardContextual"/>
              </w:rPr>
              <w:tab/>
            </w:r>
            <w:r w:rsidRPr="002F3DA3">
              <w:rPr>
                <w:rStyle w:val="Lienhypertexte"/>
                <w:noProof/>
              </w:rPr>
              <w:t>Application du barème</w:t>
            </w:r>
            <w:r>
              <w:rPr>
                <w:noProof/>
                <w:webHidden/>
              </w:rPr>
              <w:tab/>
            </w:r>
            <w:r>
              <w:rPr>
                <w:noProof/>
                <w:webHidden/>
              </w:rPr>
              <w:fldChar w:fldCharType="begin"/>
            </w:r>
            <w:r>
              <w:rPr>
                <w:noProof/>
                <w:webHidden/>
              </w:rPr>
              <w:instrText xml:space="preserve"> PAGEREF _Toc230697793 \h </w:instrText>
            </w:r>
            <w:r>
              <w:rPr>
                <w:noProof/>
                <w:webHidden/>
              </w:rPr>
            </w:r>
            <w:r>
              <w:rPr>
                <w:noProof/>
                <w:webHidden/>
              </w:rPr>
              <w:fldChar w:fldCharType="separate"/>
            </w:r>
            <w:r>
              <w:rPr>
                <w:noProof/>
                <w:webHidden/>
              </w:rPr>
              <w:t>19</w:t>
            </w:r>
            <w:r>
              <w:rPr>
                <w:noProof/>
                <w:webHidden/>
              </w:rPr>
              <w:fldChar w:fldCharType="end"/>
            </w:r>
          </w:hyperlink>
        </w:p>
        <w:p w14:paraId="56DFCA78" w14:textId="3344432E" w:rsidR="00B069B5" w:rsidRDefault="00B069B5">
          <w:pPr>
            <w:pStyle w:val="TM3"/>
            <w:rPr>
              <w:rFonts w:asciiTheme="minorHAnsi" w:eastAsiaTheme="minorEastAsia" w:hAnsiTheme="minorHAnsi"/>
              <w:noProof/>
              <w:kern w:val="2"/>
              <w:sz w:val="24"/>
              <w:szCs w:val="24"/>
              <w:lang w:eastAsia="fr-FR"/>
              <w14:ligatures w14:val="standardContextual"/>
            </w:rPr>
          </w:pPr>
          <w:hyperlink w:anchor="_Toc230697794" w:history="1">
            <w:r>
              <w:rPr>
                <w:noProof/>
                <w:webHidden/>
              </w:rPr>
              <w:tab/>
            </w:r>
            <w:r>
              <w:rPr>
                <w:noProof/>
                <w:webHidden/>
              </w:rPr>
              <w:fldChar w:fldCharType="begin"/>
            </w:r>
            <w:r>
              <w:rPr>
                <w:noProof/>
                <w:webHidden/>
              </w:rPr>
              <w:instrText xml:space="preserve"> PAGEREF _Toc230697794 \h </w:instrText>
            </w:r>
            <w:r>
              <w:rPr>
                <w:noProof/>
                <w:webHidden/>
              </w:rPr>
            </w:r>
            <w:r>
              <w:rPr>
                <w:noProof/>
                <w:webHidden/>
              </w:rPr>
              <w:fldChar w:fldCharType="separate"/>
            </w:r>
            <w:r>
              <w:rPr>
                <w:noProof/>
                <w:webHidden/>
              </w:rPr>
              <w:t>20</w:t>
            </w:r>
            <w:r>
              <w:rPr>
                <w:noProof/>
                <w:webHidden/>
              </w:rPr>
              <w:fldChar w:fldCharType="end"/>
            </w:r>
          </w:hyperlink>
        </w:p>
        <w:p w14:paraId="626753E7" w14:textId="0329ED0B" w:rsidR="00B069B5" w:rsidRDefault="00B069B5">
          <w:pPr>
            <w:pStyle w:val="TM1"/>
            <w:tabs>
              <w:tab w:val="left" w:pos="720"/>
              <w:tab w:val="right" w:leader="dot" w:pos="20921"/>
            </w:tabs>
            <w:rPr>
              <w:rFonts w:asciiTheme="minorHAnsi" w:eastAsiaTheme="minorEastAsia" w:hAnsiTheme="minorHAnsi"/>
              <w:noProof/>
              <w:kern w:val="2"/>
              <w:sz w:val="24"/>
              <w:szCs w:val="24"/>
              <w:lang w:eastAsia="fr-FR"/>
              <w14:ligatures w14:val="standardContextual"/>
            </w:rPr>
          </w:pPr>
          <w:hyperlink w:anchor="_Toc230697795" w:history="1">
            <w:r w:rsidRPr="002F3DA3">
              <w:rPr>
                <w:rStyle w:val="Lienhypertexte"/>
                <w:noProof/>
              </w:rPr>
              <w:t>V.</w:t>
            </w:r>
            <w:r>
              <w:rPr>
                <w:rFonts w:asciiTheme="minorHAnsi" w:eastAsiaTheme="minorEastAsia" w:hAnsiTheme="minorHAnsi"/>
                <w:noProof/>
                <w:kern w:val="2"/>
                <w:sz w:val="24"/>
                <w:szCs w:val="24"/>
                <w:lang w:eastAsia="fr-FR"/>
                <w14:ligatures w14:val="standardContextual"/>
              </w:rPr>
              <w:tab/>
            </w:r>
            <w:r w:rsidRPr="002F3DA3">
              <w:rPr>
                <w:rStyle w:val="Lienhypertexte"/>
                <w:noProof/>
              </w:rPr>
              <w:t>Évaluation et taxation d’un bien démembré</w:t>
            </w:r>
            <w:r>
              <w:rPr>
                <w:noProof/>
                <w:webHidden/>
              </w:rPr>
              <w:tab/>
            </w:r>
            <w:r>
              <w:rPr>
                <w:noProof/>
                <w:webHidden/>
              </w:rPr>
              <w:fldChar w:fldCharType="begin"/>
            </w:r>
            <w:r>
              <w:rPr>
                <w:noProof/>
                <w:webHidden/>
              </w:rPr>
              <w:instrText xml:space="preserve"> PAGEREF _Toc230697795 \h </w:instrText>
            </w:r>
            <w:r>
              <w:rPr>
                <w:noProof/>
                <w:webHidden/>
              </w:rPr>
            </w:r>
            <w:r>
              <w:rPr>
                <w:noProof/>
                <w:webHidden/>
              </w:rPr>
              <w:fldChar w:fldCharType="separate"/>
            </w:r>
            <w:r>
              <w:rPr>
                <w:noProof/>
                <w:webHidden/>
              </w:rPr>
              <w:t>20</w:t>
            </w:r>
            <w:r>
              <w:rPr>
                <w:noProof/>
                <w:webHidden/>
              </w:rPr>
              <w:fldChar w:fldCharType="end"/>
            </w:r>
          </w:hyperlink>
        </w:p>
        <w:p w14:paraId="310ABDDA" w14:textId="55216A1A"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96" w:history="1">
            <w:r w:rsidRPr="002F3DA3">
              <w:rPr>
                <w:rStyle w:val="Lienhypertexte"/>
                <w:noProof/>
              </w:rPr>
              <w:t>1.</w:t>
            </w:r>
            <w:r>
              <w:rPr>
                <w:rFonts w:asciiTheme="minorHAnsi" w:eastAsiaTheme="minorEastAsia" w:hAnsiTheme="minorHAnsi"/>
                <w:noProof/>
                <w:kern w:val="2"/>
                <w:sz w:val="24"/>
                <w:szCs w:val="24"/>
                <w:lang w:eastAsia="fr-FR"/>
                <w14:ligatures w14:val="standardContextual"/>
              </w:rPr>
              <w:tab/>
            </w:r>
            <w:r w:rsidRPr="002F3DA3">
              <w:rPr>
                <w:rStyle w:val="Lienhypertexte"/>
                <w:noProof/>
              </w:rPr>
              <w:t>Estimation de la valeur des biens en usufruit et nue-propriété</w:t>
            </w:r>
            <w:r>
              <w:rPr>
                <w:noProof/>
                <w:webHidden/>
              </w:rPr>
              <w:tab/>
            </w:r>
            <w:r>
              <w:rPr>
                <w:noProof/>
                <w:webHidden/>
              </w:rPr>
              <w:fldChar w:fldCharType="begin"/>
            </w:r>
            <w:r>
              <w:rPr>
                <w:noProof/>
                <w:webHidden/>
              </w:rPr>
              <w:instrText xml:space="preserve"> PAGEREF _Toc230697796 \h </w:instrText>
            </w:r>
            <w:r>
              <w:rPr>
                <w:noProof/>
                <w:webHidden/>
              </w:rPr>
            </w:r>
            <w:r>
              <w:rPr>
                <w:noProof/>
                <w:webHidden/>
              </w:rPr>
              <w:fldChar w:fldCharType="separate"/>
            </w:r>
            <w:r>
              <w:rPr>
                <w:noProof/>
                <w:webHidden/>
              </w:rPr>
              <w:t>21</w:t>
            </w:r>
            <w:r>
              <w:rPr>
                <w:noProof/>
                <w:webHidden/>
              </w:rPr>
              <w:fldChar w:fldCharType="end"/>
            </w:r>
          </w:hyperlink>
        </w:p>
        <w:p w14:paraId="0422347B" w14:textId="0721C6E2" w:rsidR="00B069B5" w:rsidRDefault="00B069B5">
          <w:pPr>
            <w:pStyle w:val="TM2"/>
            <w:tabs>
              <w:tab w:val="left" w:pos="960"/>
              <w:tab w:val="right" w:leader="dot" w:pos="20921"/>
            </w:tabs>
            <w:rPr>
              <w:rFonts w:asciiTheme="minorHAnsi" w:eastAsiaTheme="minorEastAsia" w:hAnsiTheme="minorHAnsi"/>
              <w:noProof/>
              <w:kern w:val="2"/>
              <w:sz w:val="24"/>
              <w:szCs w:val="24"/>
              <w:lang w:eastAsia="fr-FR"/>
              <w14:ligatures w14:val="standardContextual"/>
            </w:rPr>
          </w:pPr>
          <w:hyperlink w:anchor="_Toc230697797" w:history="1">
            <w:r w:rsidRPr="002F3DA3">
              <w:rPr>
                <w:rStyle w:val="Lienhypertexte"/>
                <w:noProof/>
              </w:rPr>
              <w:t>2.</w:t>
            </w:r>
            <w:r>
              <w:rPr>
                <w:rFonts w:asciiTheme="minorHAnsi" w:eastAsiaTheme="minorEastAsia" w:hAnsiTheme="minorHAnsi"/>
                <w:noProof/>
                <w:kern w:val="2"/>
                <w:sz w:val="24"/>
                <w:szCs w:val="24"/>
                <w:lang w:eastAsia="fr-FR"/>
                <w14:ligatures w14:val="standardContextual"/>
              </w:rPr>
              <w:tab/>
            </w:r>
            <w:r w:rsidRPr="002F3DA3">
              <w:rPr>
                <w:rStyle w:val="Lienhypertexte"/>
                <w:noProof/>
              </w:rPr>
              <w:t>En cas de retard ou de mauvaises déclarations successorales ?</w:t>
            </w:r>
            <w:r>
              <w:rPr>
                <w:noProof/>
                <w:webHidden/>
              </w:rPr>
              <w:tab/>
            </w:r>
            <w:r>
              <w:rPr>
                <w:noProof/>
                <w:webHidden/>
              </w:rPr>
              <w:fldChar w:fldCharType="begin"/>
            </w:r>
            <w:r>
              <w:rPr>
                <w:noProof/>
                <w:webHidden/>
              </w:rPr>
              <w:instrText xml:space="preserve"> PAGEREF _Toc230697797 \h </w:instrText>
            </w:r>
            <w:r>
              <w:rPr>
                <w:noProof/>
                <w:webHidden/>
              </w:rPr>
            </w:r>
            <w:r>
              <w:rPr>
                <w:noProof/>
                <w:webHidden/>
              </w:rPr>
              <w:fldChar w:fldCharType="separate"/>
            </w:r>
            <w:r>
              <w:rPr>
                <w:noProof/>
                <w:webHidden/>
              </w:rPr>
              <w:t>24</w:t>
            </w:r>
            <w:r>
              <w:rPr>
                <w:noProof/>
                <w:webHidden/>
              </w:rPr>
              <w:fldChar w:fldCharType="end"/>
            </w:r>
          </w:hyperlink>
        </w:p>
        <w:p w14:paraId="76D52D41" w14:textId="2F4415D2" w:rsidR="00B8067C" w:rsidRPr="00CB245E" w:rsidRDefault="00B8067C">
          <w:r w:rsidRPr="00CB245E">
            <w:rPr>
              <w:b/>
              <w:bCs/>
              <w:szCs w:val="32"/>
            </w:rPr>
            <w:fldChar w:fldCharType="end"/>
          </w:r>
        </w:p>
      </w:sdtContent>
    </w:sdt>
    <w:p w14:paraId="195FC356" w14:textId="15EB170F" w:rsidR="00B8067C" w:rsidRPr="00CB245E" w:rsidRDefault="00B8067C"/>
    <w:p w14:paraId="6B1CDAD7" w14:textId="16652438" w:rsidR="000E46A3" w:rsidRPr="00CB245E" w:rsidRDefault="00B42117" w:rsidP="00CB245E">
      <w:pPr>
        <w:pStyle w:val="CGPC-elearning"/>
      </w:pPr>
      <w:r w:rsidRPr="00CB245E">
        <w:lastRenderedPageBreak/>
        <w:br w:type="page"/>
      </w:r>
    </w:p>
    <w:p w14:paraId="628FB59C" w14:textId="77777777" w:rsidR="00C9307D" w:rsidRPr="00CB245E" w:rsidRDefault="00C9307D" w:rsidP="00CB245E">
      <w:pPr>
        <w:pStyle w:val="CGPC-elearning"/>
      </w:pPr>
      <w:r w:rsidRPr="00CB245E">
        <w:lastRenderedPageBreak/>
        <w:t>Les droits de successions sont dus sur toutes les transmissions de biens procédant d’un décès qu‘elles résultent :</w:t>
      </w:r>
    </w:p>
    <w:p w14:paraId="3E371E5A" w14:textId="77777777" w:rsidR="00C9307D" w:rsidRPr="00CB245E" w:rsidRDefault="00C9307D" w:rsidP="00CB245E">
      <w:pPr>
        <w:pStyle w:val="CGPC-elearning"/>
      </w:pPr>
      <w:r w:rsidRPr="00CB245E">
        <w:t>des règles de dévolution légale</w:t>
      </w:r>
    </w:p>
    <w:p w14:paraId="63944620" w14:textId="77777777" w:rsidR="00C9307D" w:rsidRPr="00CB245E" w:rsidRDefault="00C9307D" w:rsidP="00CB245E">
      <w:pPr>
        <w:pStyle w:val="CGPC-elearning"/>
      </w:pPr>
      <w:r w:rsidRPr="00CB245E">
        <w:t>de dispositions testamentaires (legs universel, à titre universel ou particulier)</w:t>
      </w:r>
    </w:p>
    <w:p w14:paraId="4A5314E3" w14:textId="193ADA9D" w:rsidR="00C31677" w:rsidRPr="00CB245E" w:rsidRDefault="00C9307D" w:rsidP="00CB245E">
      <w:pPr>
        <w:pStyle w:val="CGPC-elearning"/>
      </w:pPr>
      <w:r w:rsidRPr="00CB245E">
        <w:t>Sous réserve des cas d’exonération   prévus par la loi, les droits de successions frappent tous les biens qui composaient le patrimoine du défunt au jour du décès.</w:t>
      </w:r>
    </w:p>
    <w:p w14:paraId="01E176C8" w14:textId="77777777" w:rsidR="00C31677" w:rsidRPr="00CB245E" w:rsidRDefault="00C31677" w:rsidP="00CB245E">
      <w:pPr>
        <w:pStyle w:val="CGPC-elearning"/>
      </w:pPr>
      <w:r w:rsidRPr="00CB245E">
        <w:br w:type="page"/>
      </w:r>
    </w:p>
    <w:p w14:paraId="4F23532E" w14:textId="447FF914" w:rsidR="00C9307D" w:rsidRPr="00CB245E" w:rsidRDefault="00E362B0" w:rsidP="00CB245E">
      <w:pPr>
        <w:pStyle w:val="CGPC-elearning"/>
      </w:pPr>
      <w:r w:rsidRPr="00CB245E">
        <w:rPr>
          <w:noProof/>
          <w:bdr w:val="none" w:sz="0" w:space="0" w:color="auto"/>
        </w:rPr>
        <w:lastRenderedPageBreak/>
        <mc:AlternateContent>
          <mc:Choice Requires="wps">
            <w:drawing>
              <wp:anchor distT="0" distB="0" distL="114300" distR="114300" simplePos="0" relativeHeight="251666432" behindDoc="1" locked="0" layoutInCell="1" allowOverlap="1" wp14:anchorId="7C835FDC" wp14:editId="518C334C">
                <wp:simplePos x="0" y="0"/>
                <wp:positionH relativeFrom="column">
                  <wp:posOffset>-900752</wp:posOffset>
                </wp:positionH>
                <wp:positionV relativeFrom="paragraph">
                  <wp:posOffset>-95297</wp:posOffset>
                </wp:positionV>
                <wp:extent cx="16421100" cy="8584441"/>
                <wp:effectExtent l="0" t="0" r="19050" b="26670"/>
                <wp:wrapNone/>
                <wp:docPr id="1926525571" name="Rectangle 5"/>
                <wp:cNvGraphicFramePr/>
                <a:graphic xmlns:a="http://schemas.openxmlformats.org/drawingml/2006/main">
                  <a:graphicData uri="http://schemas.microsoft.com/office/word/2010/wordprocessingShape">
                    <wps:wsp>
                      <wps:cNvSpPr/>
                      <wps:spPr>
                        <a:xfrm>
                          <a:off x="0" y="0"/>
                          <a:ext cx="16421100" cy="858444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36C2B" id="Rectangle 5" o:spid="_x0000_s1026" style="position:absolute;margin-left:-70.95pt;margin-top:-7.5pt;width:1293pt;height:675.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" fillcolor="#4472c4 [3204]" strokecolor="#09101d [484]" strokeweight="1pt"/>
            </w:pict>
          </mc:Fallback>
        </mc:AlternateContent>
      </w:r>
    </w:p>
    <w:p w14:paraId="70552B71"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21A4EB12" w14:textId="77777777" w:rsidR="002E1BD3" w:rsidRPr="00CB245E" w:rsidRDefault="002E1BD3" w:rsidP="002E1BD3">
      <w:pPr>
        <w:rPr>
          <w:sz w:val="48"/>
          <w:szCs w:val="48"/>
        </w:rPr>
      </w:pPr>
    </w:p>
    <w:p w14:paraId="3AE46F31" w14:textId="77777777" w:rsidR="002E1BD3" w:rsidRPr="00CB245E" w:rsidRDefault="002E1BD3" w:rsidP="002E1BD3">
      <w:pPr>
        <w:rPr>
          <w:sz w:val="48"/>
          <w:szCs w:val="48"/>
        </w:rPr>
      </w:pPr>
    </w:p>
    <w:p w14:paraId="267988F5" w14:textId="77777777" w:rsidR="002E1BD3" w:rsidRPr="00CB245E" w:rsidRDefault="002E1BD3" w:rsidP="002E1BD3">
      <w:pPr>
        <w:rPr>
          <w:sz w:val="48"/>
          <w:szCs w:val="48"/>
        </w:rPr>
      </w:pPr>
    </w:p>
    <w:p w14:paraId="3B3D6C5A" w14:textId="77777777" w:rsidR="002E1BD3" w:rsidRPr="00CB245E" w:rsidRDefault="002E1BD3" w:rsidP="002E1BD3">
      <w:pPr>
        <w:rPr>
          <w:sz w:val="48"/>
          <w:szCs w:val="48"/>
        </w:rPr>
      </w:pPr>
    </w:p>
    <w:p w14:paraId="4CCE1F0B" w14:textId="77777777" w:rsidR="002E1BD3" w:rsidRPr="00CB245E" w:rsidRDefault="002E1BD3" w:rsidP="002E1BD3">
      <w:pPr>
        <w:rPr>
          <w:sz w:val="48"/>
          <w:szCs w:val="48"/>
        </w:rPr>
      </w:pPr>
    </w:p>
    <w:p w14:paraId="0E708C3C" w14:textId="3E729515" w:rsidR="00C31677" w:rsidRPr="00CB245E" w:rsidRDefault="00C9307D" w:rsidP="00051ECB">
      <w:pPr>
        <w:pStyle w:val="Titre1"/>
      </w:pPr>
      <w:bookmarkStart w:id="0" w:name="_Toc230697778"/>
      <w:r w:rsidRPr="00CB245E">
        <w:t>Rappel sur la territorialité</w:t>
      </w:r>
      <w:bookmarkEnd w:id="0"/>
    </w:p>
    <w:p w14:paraId="19AF1473" w14:textId="77777777" w:rsidR="00C31677" w:rsidRPr="00CB245E" w:rsidRDefault="00C31677" w:rsidP="00CB245E">
      <w:pPr>
        <w:pStyle w:val="CGPC-elearning"/>
        <w:rPr>
          <w:color w:val="3A5D9C"/>
          <w:sz w:val="44"/>
          <w:szCs w:val="26"/>
        </w:rPr>
      </w:pPr>
      <w:r w:rsidRPr="00CB245E">
        <w:br w:type="page"/>
      </w:r>
    </w:p>
    <w:p w14:paraId="7AEC1723" w14:textId="77777777" w:rsidR="00D2768F" w:rsidRPr="00CB245E" w:rsidRDefault="00D2768F" w:rsidP="00C9307D">
      <w:pPr>
        <w:spacing w:after="0" w:line="240" w:lineRule="auto"/>
        <w:textAlignment w:val="baseline"/>
        <w:rPr>
          <w:rFonts w:eastAsia="Times New Roman" w:cs="Open Sans"/>
          <w:i/>
          <w:iCs/>
          <w:color w:val="666666"/>
          <w:sz w:val="21"/>
          <w:szCs w:val="21"/>
          <w:bdr w:val="none" w:sz="0" w:space="0" w:color="auto" w:frame="1"/>
          <w:lang w:eastAsia="fr-FR"/>
        </w:rPr>
      </w:pPr>
    </w:p>
    <w:p w14:paraId="0EC088C8" w14:textId="047E4364" w:rsidR="00C9307D" w:rsidRPr="00CB245E" w:rsidRDefault="00C9307D" w:rsidP="00CB245E">
      <w:pPr>
        <w:pStyle w:val="CGPC-elearning"/>
      </w:pPr>
      <w:r w:rsidRPr="00CB245E">
        <w:t xml:space="preserve">Si le défunt était domicilié en France, tous les biens meubles et immeubles sont imposables en France, quelques que soit leur nature ou leur </w:t>
      </w:r>
      <w:proofErr w:type="gramStart"/>
      <w:r w:rsidRPr="00CB245E">
        <w:t>situation .Les</w:t>
      </w:r>
      <w:proofErr w:type="gramEnd"/>
      <w:r w:rsidRPr="00CB245E">
        <w:t xml:space="preserve"> meubles et les immeubles situés à l’étranger sont imposables en France de même que les créances et les valeurs mobilières étrangères ou biens ou droits étrangers composant un trust. Ce principe s’applique quel que soit le domicile du bénéficiaire de la transmission (en France ou hors de France).</w:t>
      </w:r>
    </w:p>
    <w:p w14:paraId="0B4C0FDD" w14:textId="77777777" w:rsidR="00C9307D" w:rsidRPr="00CB245E" w:rsidRDefault="00C9307D" w:rsidP="00CB245E">
      <w:pPr>
        <w:pStyle w:val="CGPC-elearning"/>
      </w:pPr>
      <w:r w:rsidRPr="00CB245E">
        <w:t>Dans le cas où le défunt était domicilié </w:t>
      </w:r>
      <w:r w:rsidRPr="00CB245E">
        <w:rPr>
          <w:u w:val="single"/>
        </w:rPr>
        <w:t>hors de France</w:t>
      </w:r>
      <w:r w:rsidRPr="00CB245E">
        <w:t> et si le bénéficiaire </w:t>
      </w:r>
      <w:r w:rsidRPr="00CB245E">
        <w:rPr>
          <w:b/>
        </w:rPr>
        <w:t>héritier est domicilié en France</w:t>
      </w:r>
      <w:r w:rsidRPr="00CB245E">
        <w:t> au jour du décès et l’a été pendant au moins six ans aux cours des dix dernières années, </w:t>
      </w:r>
      <w:r w:rsidRPr="00CB245E">
        <w:rPr>
          <w:b/>
        </w:rPr>
        <w:t>tous les biens sont imposés en France</w:t>
      </w:r>
      <w:r w:rsidRPr="00CB245E">
        <w:t>.</w:t>
      </w:r>
    </w:p>
    <w:p w14:paraId="00095566" w14:textId="77777777" w:rsidR="00C9307D" w:rsidRPr="00CB245E" w:rsidRDefault="00C9307D" w:rsidP="00CB245E">
      <w:pPr>
        <w:pStyle w:val="CGPC-elearning"/>
      </w:pPr>
      <w:r w:rsidRPr="00CB245E">
        <w:t>Dans le cas où le défunt était domicilié hors de France et si le bénéficiaire héritier </w:t>
      </w:r>
      <w:r w:rsidRPr="00CB245E">
        <w:rPr>
          <w:b/>
        </w:rPr>
        <w:t>est domicilié hors de France </w:t>
      </w:r>
      <w:r w:rsidRPr="00CB245E">
        <w:t>au jour du décès, </w:t>
      </w:r>
      <w:r w:rsidRPr="00CB245E">
        <w:rPr>
          <w:b/>
        </w:rPr>
        <w:t>seuls les biens situés en France sont imposables en France</w:t>
      </w:r>
      <w:r w:rsidRPr="00CB245E">
        <w:t>.</w:t>
      </w:r>
    </w:p>
    <w:p w14:paraId="011DE1CE" w14:textId="77777777" w:rsidR="00C9307D" w:rsidRPr="00CB245E" w:rsidRDefault="00C9307D" w:rsidP="00CB245E">
      <w:pPr>
        <w:pStyle w:val="CGPC-elearning"/>
      </w:pPr>
      <w:r w:rsidRPr="00CB245E">
        <w:t>En ce qui concerne l’imputation sur l’impôt français de l’impôt acquitté dans un pays estranger lié à la France par une convention internationale, il est précisé que seul est imputable l’impôt perçu sur les biens imposables dans ce pays d’après la convention et également imposables en France d’après la même convention.</w:t>
      </w:r>
    </w:p>
    <w:p w14:paraId="726C54B5" w14:textId="46B69D1E" w:rsidR="00C31677" w:rsidRPr="00CB245E" w:rsidRDefault="00C9307D" w:rsidP="00CB245E">
      <w:pPr>
        <w:pStyle w:val="CGPC-elearning"/>
      </w:pPr>
      <w:r w:rsidRPr="00CB245E">
        <w:t> </w:t>
      </w:r>
    </w:p>
    <w:p w14:paraId="66B64FD4" w14:textId="77777777" w:rsidR="00C31677" w:rsidRPr="00CB245E" w:rsidRDefault="00C31677" w:rsidP="00CB245E">
      <w:pPr>
        <w:pStyle w:val="CGPC-elearning"/>
      </w:pPr>
      <w:r w:rsidRPr="00CB245E">
        <w:br w:type="page"/>
      </w:r>
    </w:p>
    <w:p w14:paraId="2226D498" w14:textId="715CFF44" w:rsidR="00C9307D" w:rsidRPr="00CB245E" w:rsidRDefault="00E362B0" w:rsidP="00CB245E">
      <w:pPr>
        <w:pStyle w:val="CGPC-elearning"/>
      </w:pPr>
      <w:r w:rsidRPr="00CB245E">
        <w:rPr>
          <w:noProof/>
          <w:bdr w:val="none" w:sz="0" w:space="0" w:color="auto"/>
        </w:rPr>
        <w:lastRenderedPageBreak/>
        <mc:AlternateContent>
          <mc:Choice Requires="wps">
            <w:drawing>
              <wp:anchor distT="0" distB="0" distL="114300" distR="114300" simplePos="0" relativeHeight="251667456" behindDoc="1" locked="0" layoutInCell="1" allowOverlap="1" wp14:anchorId="17B9C17A" wp14:editId="22813D22">
                <wp:simplePos x="0" y="0"/>
                <wp:positionH relativeFrom="column">
                  <wp:posOffset>-873457</wp:posOffset>
                </wp:positionH>
                <wp:positionV relativeFrom="paragraph">
                  <wp:posOffset>-108945</wp:posOffset>
                </wp:positionV>
                <wp:extent cx="16916400" cy="8666328"/>
                <wp:effectExtent l="0" t="0" r="19050" b="20955"/>
                <wp:wrapNone/>
                <wp:docPr id="1824678434" name="Rectangle 6"/>
                <wp:cNvGraphicFramePr/>
                <a:graphic xmlns:a="http://schemas.openxmlformats.org/drawingml/2006/main">
                  <a:graphicData uri="http://schemas.microsoft.com/office/word/2010/wordprocessingShape">
                    <wps:wsp>
                      <wps:cNvSpPr/>
                      <wps:spPr>
                        <a:xfrm>
                          <a:off x="0" y="0"/>
                          <a:ext cx="16916400" cy="86663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0AA05" id="Rectangle 6" o:spid="_x0000_s1026" style="position:absolute;margin-left:-68.8pt;margin-top:-8.6pt;width:1332pt;height:682.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" fillcolor="#4472c4 [3204]" strokecolor="#09101d [484]" strokeweight="1pt"/>
            </w:pict>
          </mc:Fallback>
        </mc:AlternateContent>
      </w:r>
    </w:p>
    <w:p w14:paraId="33F2C72C" w14:textId="77777777" w:rsidR="002E1BD3" w:rsidRPr="00CB245E" w:rsidRDefault="002E1BD3" w:rsidP="002E1BD3">
      <w:pPr>
        <w:rPr>
          <w:sz w:val="48"/>
          <w:szCs w:val="48"/>
        </w:rPr>
      </w:pPr>
    </w:p>
    <w:p w14:paraId="50BD1CA8" w14:textId="77777777" w:rsidR="002E1BD3" w:rsidRPr="00CB245E" w:rsidRDefault="002E1BD3" w:rsidP="002E1BD3">
      <w:pPr>
        <w:rPr>
          <w:sz w:val="48"/>
          <w:szCs w:val="48"/>
        </w:rPr>
      </w:pPr>
    </w:p>
    <w:p w14:paraId="02237109" w14:textId="77777777" w:rsidR="002E1BD3" w:rsidRPr="00CB245E" w:rsidRDefault="002E1BD3" w:rsidP="002E1BD3">
      <w:pPr>
        <w:rPr>
          <w:sz w:val="48"/>
          <w:szCs w:val="48"/>
        </w:rPr>
      </w:pPr>
    </w:p>
    <w:p w14:paraId="29E578BC" w14:textId="77777777" w:rsidR="002E1BD3" w:rsidRPr="00CB245E" w:rsidRDefault="002E1BD3" w:rsidP="002E1BD3">
      <w:pPr>
        <w:rPr>
          <w:sz w:val="48"/>
          <w:szCs w:val="48"/>
        </w:rPr>
      </w:pPr>
    </w:p>
    <w:p w14:paraId="63FCF4C7" w14:textId="77777777" w:rsidR="002E1BD3" w:rsidRPr="00CB245E" w:rsidRDefault="002E1BD3" w:rsidP="002E1BD3">
      <w:pPr>
        <w:rPr>
          <w:sz w:val="48"/>
          <w:szCs w:val="48"/>
        </w:rPr>
      </w:pPr>
    </w:p>
    <w:p w14:paraId="40FA8614" w14:textId="63558C87" w:rsidR="00C31677" w:rsidRPr="00CB245E" w:rsidRDefault="00C9307D" w:rsidP="00051ECB">
      <w:pPr>
        <w:pStyle w:val="Titre1"/>
      </w:pPr>
      <w:bookmarkStart w:id="1" w:name="_Toc230697779"/>
      <w:r w:rsidRPr="00CB245E">
        <w:t>Déclaration de succession</w:t>
      </w:r>
      <w:bookmarkEnd w:id="1"/>
    </w:p>
    <w:p w14:paraId="14859A1F" w14:textId="77777777" w:rsidR="00C31677" w:rsidRPr="00CB245E" w:rsidRDefault="00C31677" w:rsidP="00CB245E">
      <w:pPr>
        <w:pStyle w:val="CGPC-elearning"/>
        <w:rPr>
          <w:color w:val="3A5D9C"/>
          <w:sz w:val="44"/>
          <w:szCs w:val="26"/>
        </w:rPr>
      </w:pPr>
      <w:r w:rsidRPr="00CB245E">
        <w:br w:type="page"/>
      </w:r>
    </w:p>
    <w:p w14:paraId="65F67FC2" w14:textId="35C170DE" w:rsidR="00C9307D" w:rsidRPr="00CB245E" w:rsidRDefault="00C9307D" w:rsidP="00CB245E">
      <w:pPr>
        <w:pStyle w:val="CGPC-elearning"/>
      </w:pPr>
      <w:r w:rsidRPr="00CB245E">
        <w:lastRenderedPageBreak/>
        <w:t>La déclaration de succession est obligatoire par les héritiers ou légataire même si aucun droit n’est dû, sauf dans les cas suivants :</w:t>
      </w:r>
    </w:p>
    <w:p w14:paraId="3C903528" w14:textId="77777777" w:rsidR="00C9307D" w:rsidRPr="00CB245E" w:rsidRDefault="00C9307D" w:rsidP="00CB245E">
      <w:pPr>
        <w:pStyle w:val="CGPC-elearning"/>
      </w:pPr>
      <w:r w:rsidRPr="00CB245E">
        <w:t xml:space="preserve">L’enfant du défunt ou l’époux survivant ou le partenaire lié au défunt par un Pacs qui </w:t>
      </w:r>
      <w:proofErr w:type="gramStart"/>
      <w:r w:rsidRPr="00CB245E">
        <w:t>n’ont  pas</w:t>
      </w:r>
      <w:proofErr w:type="gramEnd"/>
      <w:r w:rsidRPr="00CB245E">
        <w:t xml:space="preserve"> bénéficié́, de la part du défunt, d’une donation ou d’un don manuel non enregistré ou non déclaré́ et dont </w:t>
      </w:r>
      <w:r w:rsidRPr="00CB245E">
        <w:rPr>
          <w:b/>
        </w:rPr>
        <w:t xml:space="preserve">l’actif brut successoral est inférieur </w:t>
      </w:r>
      <w:proofErr w:type="spellStart"/>
      <w:r w:rsidRPr="00CB245E">
        <w:rPr>
          <w:b/>
        </w:rPr>
        <w:t>a</w:t>
      </w:r>
      <w:proofErr w:type="spellEnd"/>
      <w:r w:rsidRPr="00CB245E">
        <w:rPr>
          <w:b/>
        </w:rPr>
        <w:t>̀ 50 000 €</w:t>
      </w:r>
      <w:r w:rsidRPr="00CB245E">
        <w:t> ;</w:t>
      </w:r>
    </w:p>
    <w:p w14:paraId="035406CB" w14:textId="77777777" w:rsidR="00C9307D" w:rsidRPr="00CB245E" w:rsidRDefault="00C9307D" w:rsidP="00CB245E">
      <w:pPr>
        <w:pStyle w:val="CGPC-elearning"/>
      </w:pPr>
      <w:r w:rsidRPr="00CB245E">
        <w:t xml:space="preserve">Tout autre bénéficiaire de la succession dont l’actif brut successoral est inférieur </w:t>
      </w:r>
      <w:proofErr w:type="spellStart"/>
      <w:r w:rsidRPr="00CB245E">
        <w:t>a</w:t>
      </w:r>
      <w:proofErr w:type="spellEnd"/>
      <w:r w:rsidRPr="00CB245E">
        <w:t>̀ 3 000 €</w:t>
      </w:r>
    </w:p>
    <w:p w14:paraId="49954342" w14:textId="77777777" w:rsidR="00C9307D" w:rsidRPr="00CB245E" w:rsidRDefault="00C9307D" w:rsidP="00CB245E">
      <w:pPr>
        <w:pStyle w:val="CGPC-elearning"/>
      </w:pPr>
      <w:r w:rsidRPr="00CB245E">
        <w:t xml:space="preserve">Pour la transmission de biens immobiliers du défunt à ses héritiers, le notaire doit obligatoirement établir, pour chaque immeuble, une attestation de propriété́ qu’il présentera au service chargé de la publicité́ foncière. Cette attestation permet notamment la mise </w:t>
      </w:r>
      <w:proofErr w:type="spellStart"/>
      <w:r w:rsidRPr="00CB245E">
        <w:t>a</w:t>
      </w:r>
      <w:proofErr w:type="spellEnd"/>
      <w:r w:rsidRPr="00CB245E">
        <w:t>̀ jour du cadastre pour que la taxe foncière soit établie sans erreur.</w:t>
      </w:r>
    </w:p>
    <w:p w14:paraId="7E420694" w14:textId="77777777" w:rsidR="00C9307D" w:rsidRPr="00CB245E" w:rsidRDefault="00C9307D" w:rsidP="00CB245E">
      <w:pPr>
        <w:pStyle w:val="CGPC-elearning"/>
      </w:pPr>
      <w:r w:rsidRPr="00CB245E">
        <w:t xml:space="preserve">La déclaration de succession doit être déposée dans un délai de 6 mois à compter du jour du décès si celui-ci s’est produit en France, et d’une année si le décès </w:t>
      </w:r>
      <w:proofErr w:type="spellStart"/>
      <w:r w:rsidRPr="00CB245E">
        <w:t>à</w:t>
      </w:r>
      <w:proofErr w:type="spellEnd"/>
      <w:r w:rsidRPr="00CB245E">
        <w:t xml:space="preserve"> eu lieu à l‘</w:t>
      </w:r>
      <w:proofErr w:type="gramStart"/>
      <w:r w:rsidRPr="00CB245E">
        <w:t>étranger .</w:t>
      </w:r>
      <w:proofErr w:type="gramEnd"/>
    </w:p>
    <w:p w14:paraId="4603572C" w14:textId="269DB0DD" w:rsidR="00C31677" w:rsidRPr="00CB245E" w:rsidRDefault="00C9307D" w:rsidP="00C9307D">
      <w:pPr>
        <w:spacing w:after="0" w:line="600" w:lineRule="atLeast"/>
        <w:textAlignment w:val="baseline"/>
        <w:outlineLvl w:val="1"/>
        <w:rPr>
          <w:rFonts w:eastAsia="Times New Roman" w:cs="Open Sans"/>
          <w:b/>
          <w:bCs/>
          <w:caps/>
          <w:color w:val="333333"/>
          <w:sz w:val="39"/>
          <w:szCs w:val="39"/>
          <w:lang w:eastAsia="fr-FR"/>
        </w:rPr>
      </w:pPr>
      <w:r w:rsidRPr="00CB245E">
        <w:rPr>
          <w:rFonts w:eastAsia="Times New Roman" w:cs="Open Sans"/>
          <w:b/>
          <w:bCs/>
          <w:caps/>
          <w:color w:val="333333"/>
          <w:sz w:val="39"/>
          <w:szCs w:val="39"/>
          <w:lang w:eastAsia="fr-FR"/>
        </w:rPr>
        <w:t> </w:t>
      </w:r>
    </w:p>
    <w:p w14:paraId="0A96DB9D" w14:textId="77777777" w:rsidR="00C31677" w:rsidRPr="00CB245E" w:rsidRDefault="00C31677" w:rsidP="00CB245E">
      <w:pPr>
        <w:pStyle w:val="CGPC-elearning"/>
      </w:pPr>
      <w:r w:rsidRPr="00CB245E">
        <w:br w:type="page"/>
      </w:r>
    </w:p>
    <w:bookmarkStart w:id="2" w:name="_Toc230697780"/>
    <w:p w14:paraId="1203609A" w14:textId="0C8B1BDA" w:rsidR="00C9307D" w:rsidRPr="00CB245E" w:rsidRDefault="00E362B0" w:rsidP="00C9307D">
      <w:pPr>
        <w:spacing w:after="0" w:line="600" w:lineRule="atLeast"/>
        <w:textAlignment w:val="baseline"/>
        <w:outlineLvl w:val="1"/>
        <w:rPr>
          <w:rFonts w:eastAsia="Times New Roman" w:cs="Open Sans"/>
          <w:b/>
          <w:bCs/>
          <w:caps/>
          <w:color w:val="333333"/>
          <w:sz w:val="39"/>
          <w:szCs w:val="39"/>
          <w:lang w:eastAsia="fr-FR"/>
        </w:rPr>
      </w:pPr>
      <w:r w:rsidRPr="00CB245E">
        <w:rPr>
          <w:rFonts w:eastAsia="Times New Roman" w:cs="Open Sans"/>
          <w:b/>
          <w:bCs/>
          <w:caps/>
          <w:noProof/>
          <w:color w:val="333333"/>
          <w:sz w:val="39"/>
          <w:szCs w:val="39"/>
          <w:lang w:eastAsia="fr-FR"/>
          <w14:ligatures w14:val="standardContextual"/>
        </w:rPr>
        <w:lastRenderedPageBreak/>
        <mc:AlternateContent>
          <mc:Choice Requires="wps">
            <w:drawing>
              <wp:anchor distT="0" distB="0" distL="114300" distR="114300" simplePos="0" relativeHeight="251668480" behindDoc="1" locked="0" layoutInCell="1" allowOverlap="1" wp14:anchorId="4FB8311E" wp14:editId="2805F9A9">
                <wp:simplePos x="0" y="0"/>
                <wp:positionH relativeFrom="column">
                  <wp:posOffset>-873457</wp:posOffset>
                </wp:positionH>
                <wp:positionV relativeFrom="paragraph">
                  <wp:posOffset>-108945</wp:posOffset>
                </wp:positionV>
                <wp:extent cx="17030700" cy="8666328"/>
                <wp:effectExtent l="0" t="0" r="19050" b="20955"/>
                <wp:wrapNone/>
                <wp:docPr id="1591418741" name="Rectangle 7"/>
                <wp:cNvGraphicFramePr/>
                <a:graphic xmlns:a="http://schemas.openxmlformats.org/drawingml/2006/main">
                  <a:graphicData uri="http://schemas.microsoft.com/office/word/2010/wordprocessingShape">
                    <wps:wsp>
                      <wps:cNvSpPr/>
                      <wps:spPr>
                        <a:xfrm>
                          <a:off x="0" y="0"/>
                          <a:ext cx="17030700" cy="86663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6D233" id="Rectangle 7" o:spid="_x0000_s1026" style="position:absolute;margin-left:-68.8pt;margin-top:-8.6pt;width:1341pt;height:682.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" fillcolor="#4472c4 [3204]" strokecolor="#09101d [484]" strokeweight="1pt"/>
            </w:pict>
          </mc:Fallback>
        </mc:AlternateContent>
      </w:r>
      <w:bookmarkEnd w:id="2"/>
    </w:p>
    <w:p w14:paraId="54EAD5C1" w14:textId="77777777" w:rsidR="00A61D02" w:rsidRPr="00CB245E" w:rsidRDefault="00A61D02" w:rsidP="002E1BD3">
      <w:pPr>
        <w:rPr>
          <w:sz w:val="52"/>
          <w:szCs w:val="52"/>
        </w:rPr>
      </w:pPr>
    </w:p>
    <w:p w14:paraId="23E208F1" w14:textId="77777777" w:rsidR="00A61D02" w:rsidRPr="00CB245E" w:rsidRDefault="00A61D02" w:rsidP="002E1BD3">
      <w:pPr>
        <w:rPr>
          <w:sz w:val="52"/>
          <w:szCs w:val="52"/>
        </w:rPr>
      </w:pPr>
    </w:p>
    <w:p w14:paraId="442979EC" w14:textId="77777777" w:rsidR="00A61D02" w:rsidRPr="00CB245E" w:rsidRDefault="00A61D02" w:rsidP="002E1BD3">
      <w:pPr>
        <w:rPr>
          <w:sz w:val="52"/>
          <w:szCs w:val="52"/>
        </w:rPr>
      </w:pPr>
    </w:p>
    <w:p w14:paraId="10031A91" w14:textId="77777777" w:rsidR="00A61D02" w:rsidRPr="00CB245E" w:rsidRDefault="00A61D02" w:rsidP="002E1BD3">
      <w:pPr>
        <w:rPr>
          <w:sz w:val="52"/>
          <w:szCs w:val="52"/>
        </w:rPr>
      </w:pPr>
    </w:p>
    <w:p w14:paraId="55592C0A" w14:textId="77777777" w:rsidR="00A61D02" w:rsidRPr="00CB245E" w:rsidRDefault="00A61D02" w:rsidP="002E1BD3">
      <w:pPr>
        <w:rPr>
          <w:sz w:val="52"/>
          <w:szCs w:val="52"/>
        </w:rPr>
      </w:pPr>
    </w:p>
    <w:p w14:paraId="3BF9C0EA" w14:textId="77777777" w:rsidR="00A61D02" w:rsidRPr="00CB245E" w:rsidRDefault="00A61D02" w:rsidP="002E1BD3">
      <w:pPr>
        <w:rPr>
          <w:sz w:val="52"/>
          <w:szCs w:val="52"/>
        </w:rPr>
      </w:pPr>
    </w:p>
    <w:p w14:paraId="0934131F" w14:textId="58FB4E5A" w:rsidR="00C31677" w:rsidRPr="00CB245E" w:rsidRDefault="00C9307D" w:rsidP="00051ECB">
      <w:pPr>
        <w:pStyle w:val="Titre1"/>
      </w:pPr>
      <w:bookmarkStart w:id="3" w:name="_Toc230697781"/>
      <w:r w:rsidRPr="00CB245E">
        <w:t>Évaluation du patrimoine (actif successoral)</w:t>
      </w:r>
      <w:bookmarkEnd w:id="3"/>
    </w:p>
    <w:p w14:paraId="6FA15A41" w14:textId="1D4A293F" w:rsidR="00C9307D" w:rsidRPr="00CB245E" w:rsidRDefault="00C31677" w:rsidP="00CB245E">
      <w:pPr>
        <w:pStyle w:val="CGPC-elearning"/>
        <w:rPr>
          <w:color w:val="3A5D9C"/>
          <w:sz w:val="44"/>
          <w:szCs w:val="26"/>
        </w:rPr>
      </w:pPr>
      <w:r w:rsidRPr="00CB245E">
        <w:br w:type="page"/>
      </w:r>
    </w:p>
    <w:p w14:paraId="2DCE4176"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lastRenderedPageBreak/>
        <w:t> </w:t>
      </w:r>
    </w:p>
    <w:p w14:paraId="5CB2245B" w14:textId="77777777" w:rsidR="00C9307D" w:rsidRPr="00CB245E" w:rsidRDefault="00C9307D" w:rsidP="00CB245E">
      <w:pPr>
        <w:pStyle w:val="CGPC-elearning"/>
      </w:pPr>
      <w:r w:rsidRPr="00CB245E">
        <w:t>L’ensemble des biens du défunt compose le patrimoine successoral. Chacun de ces biens, selon sa nature, fait l’objet d’une mention, ainsi que d’une évaluation au jour du décès, transmis à l’administration fiscale.</w:t>
      </w:r>
    </w:p>
    <w:p w14:paraId="3929A4C1" w14:textId="77777777" w:rsidR="00C9307D" w:rsidRPr="00CB245E" w:rsidRDefault="00C9307D" w:rsidP="00CB245E">
      <w:pPr>
        <w:pStyle w:val="CGPC-elearning"/>
      </w:pPr>
      <w:r w:rsidRPr="00CB245E">
        <w:t>C’est le solde de l’actif brut moins le passif, appelé actif net successoral, qui fait l’objet de la transmission entre les différents héritiers.</w:t>
      </w:r>
    </w:p>
    <w:p w14:paraId="27EEBC7D" w14:textId="77777777" w:rsidR="00C9307D" w:rsidRPr="00CB245E" w:rsidRDefault="00C9307D" w:rsidP="00CB245E">
      <w:pPr>
        <w:pStyle w:val="Titre2"/>
      </w:pPr>
      <w:bookmarkStart w:id="4" w:name="_Toc230697782"/>
      <w:r w:rsidRPr="00CB245E">
        <w:t>Biens taxables :</w:t>
      </w:r>
      <w:bookmarkEnd w:id="4"/>
    </w:p>
    <w:p w14:paraId="2B1A0104" w14:textId="77777777" w:rsidR="00D2768F" w:rsidRPr="00CB245E" w:rsidRDefault="00D2768F" w:rsidP="00D2768F"/>
    <w:p w14:paraId="0CC1C5D4" w14:textId="784285F5" w:rsidR="00C9307D" w:rsidRPr="00CB245E" w:rsidRDefault="00C9307D" w:rsidP="00CB245E">
      <w:pPr>
        <w:pStyle w:val="CGPC-elearning"/>
      </w:pPr>
      <w:r w:rsidRPr="00CB245E">
        <w:t>Billets de banque</w:t>
      </w:r>
    </w:p>
    <w:p w14:paraId="00CF1542" w14:textId="77777777" w:rsidR="00C9307D" w:rsidRPr="00CB245E" w:rsidRDefault="00C9307D" w:rsidP="00CB245E">
      <w:pPr>
        <w:pStyle w:val="CGPC-elearning"/>
      </w:pPr>
      <w:r w:rsidRPr="00CB245E">
        <w:rPr>
          <w:b/>
        </w:rPr>
        <w:t>comptes courants </w:t>
      </w:r>
      <w:r w:rsidRPr="00CB245E">
        <w:t>bancaires ou tous autres comptes de dépôt ou d’épargne ainsi que leurs valeurs</w:t>
      </w:r>
    </w:p>
    <w:p w14:paraId="236F4425" w14:textId="77777777" w:rsidR="00C9307D" w:rsidRPr="00CB245E" w:rsidRDefault="00C9307D" w:rsidP="00CB245E">
      <w:pPr>
        <w:pStyle w:val="CGPC-elearning"/>
      </w:pPr>
      <w:r w:rsidRPr="00CB245E">
        <w:t>Salaires, pensions et rentes viagères dus au décès ;</w:t>
      </w:r>
    </w:p>
    <w:p w14:paraId="7E95F7A3" w14:textId="77777777" w:rsidR="00C9307D" w:rsidRPr="00CB245E" w:rsidRDefault="00C9307D" w:rsidP="00CB245E">
      <w:pPr>
        <w:pStyle w:val="CGPC-elearning"/>
      </w:pPr>
      <w:r w:rsidRPr="00CB245E">
        <w:t>indemnités d’assurance (dans certains cas)</w:t>
      </w:r>
    </w:p>
    <w:p w14:paraId="5A4A1665" w14:textId="77777777" w:rsidR="00C9307D" w:rsidRPr="00CB245E" w:rsidRDefault="00C9307D" w:rsidP="00CB245E">
      <w:pPr>
        <w:pStyle w:val="CGPC-elearning"/>
      </w:pPr>
      <w:r w:rsidRPr="00CB245E">
        <w:t>Immeubles bâtis ou non bâtis</w:t>
      </w:r>
    </w:p>
    <w:p w14:paraId="674A11C2" w14:textId="77777777" w:rsidR="00C9307D" w:rsidRPr="00CB245E" w:rsidRDefault="00C9307D" w:rsidP="00CB245E">
      <w:pPr>
        <w:pStyle w:val="CGPC-elearning"/>
      </w:pPr>
      <w:r w:rsidRPr="00CB245E">
        <w:t>Les immeubles sont évalués selon leur valeur vénale (par référence au marché</w:t>
      </w:r>
      <w:proofErr w:type="gramStart"/>
      <w:r w:rsidRPr="00CB245E">
        <w:t>).Pour</w:t>
      </w:r>
      <w:proofErr w:type="gramEnd"/>
      <w:r w:rsidRPr="00CB245E">
        <w:t xml:space="preserve"> les immeubles occupés par leur propriétaire, cette valeur correspond à la valeur libre de toute occupation.</w:t>
      </w:r>
    </w:p>
    <w:p w14:paraId="1F981CFD" w14:textId="77777777" w:rsidR="00C9307D" w:rsidRPr="00CB245E" w:rsidRDefault="00C9307D" w:rsidP="00CB245E">
      <w:pPr>
        <w:pStyle w:val="CGPC-elearning"/>
      </w:pPr>
      <w:r w:rsidRPr="00CB245E">
        <w:rPr>
          <w:b/>
        </w:rPr>
        <w:t>Un abattement de 20%</w:t>
      </w:r>
      <w:r w:rsidRPr="00CB245E">
        <w:t> est effectué sur la valeur vénale de l’immeuble constituant au jour du décès la résidence principale du défunt et lorsque à la même date, cet immeuble est occupé à titre de résidence principale par le conjoint survivant, le partenaire de PACS, ou par un ou plusieurs enfants mineurs ou majeurs protégés du défunt ou de son conjoint ou pacsé</w:t>
      </w:r>
    </w:p>
    <w:p w14:paraId="299CE3C3" w14:textId="77777777" w:rsidR="00C9307D" w:rsidRPr="00CB245E" w:rsidRDefault="00C9307D" w:rsidP="00CB245E">
      <w:pPr>
        <w:pStyle w:val="CGPC-elearning"/>
      </w:pPr>
      <w:r w:rsidRPr="00CB245E">
        <w:t> </w:t>
      </w:r>
    </w:p>
    <w:p w14:paraId="02DA7F1E" w14:textId="77777777" w:rsidR="00C9307D" w:rsidRPr="00CB245E" w:rsidRDefault="00C9307D" w:rsidP="00CB245E">
      <w:pPr>
        <w:pStyle w:val="CGPC-elearning"/>
      </w:pPr>
      <w:r w:rsidRPr="00CB245E">
        <w:t>Biens en usufruit et nue-propriété</w:t>
      </w:r>
    </w:p>
    <w:p w14:paraId="4D19C9E9" w14:textId="1191DF8D" w:rsidR="00C9307D" w:rsidRPr="00CB245E" w:rsidRDefault="00C9307D" w:rsidP="00CB245E">
      <w:pPr>
        <w:pStyle w:val="CGPC-elearning"/>
      </w:pPr>
      <w:r w:rsidRPr="00CB245E">
        <w:t>Selon l’âge de l’usufruitier conformément au barème (voir ci-dessous taxation d’un bien démembré)</w:t>
      </w:r>
    </w:p>
    <w:p w14:paraId="7163C669" w14:textId="77777777" w:rsidR="00C9307D" w:rsidRPr="00CB245E" w:rsidRDefault="00C9307D" w:rsidP="00CB245E">
      <w:pPr>
        <w:pStyle w:val="CGPC-elearning"/>
      </w:pPr>
      <w:r w:rsidRPr="00CB245E">
        <w:t>Biens grevés d’un droit d’habitation et d’usage</w:t>
      </w:r>
    </w:p>
    <w:p w14:paraId="1F2B55CB" w14:textId="5FE201F7" w:rsidR="00C9307D" w:rsidRPr="00CB245E" w:rsidRDefault="00C9307D" w:rsidP="00CB245E">
      <w:pPr>
        <w:pStyle w:val="CGPC-elearning"/>
      </w:pPr>
      <w:r w:rsidRPr="00CB245E">
        <w:t>La valeur des droits d’habitation et d’usage est de 60% de la valeur de l’usufruit viager (selon l’âge du conjoint survivant au terme de l’exercice du droit temporaire)</w:t>
      </w:r>
    </w:p>
    <w:p w14:paraId="5C871294" w14:textId="77777777" w:rsidR="00C9307D" w:rsidRPr="00CB245E" w:rsidRDefault="00C9307D" w:rsidP="00CB245E">
      <w:pPr>
        <w:pStyle w:val="CGPC-elearning"/>
      </w:pPr>
      <w:r w:rsidRPr="00CB245E">
        <w:lastRenderedPageBreak/>
        <w:t>Cheptel et matériel d’exploitation</w:t>
      </w:r>
    </w:p>
    <w:p w14:paraId="44E09CB2" w14:textId="7C724FEC" w:rsidR="00C9307D" w:rsidRPr="00CB245E" w:rsidRDefault="00C9307D" w:rsidP="00CB245E">
      <w:pPr>
        <w:pStyle w:val="CGPC-elearning"/>
      </w:pPr>
      <w:r w:rsidRPr="00CB245E">
        <w:t>Fonds de commerce</w:t>
      </w:r>
      <w:r w:rsidR="003A3206" w:rsidRPr="00CB245E">
        <w:t xml:space="preserve"> </w:t>
      </w:r>
      <w:r w:rsidRPr="00CB245E">
        <w:t>et biens ou droits s’y rapportant ; leur valeur s’estime souvent par application d’un % sur le chiffre d’affaires (% souvent indiqué par les organismes professionnels représentatifs</w:t>
      </w:r>
    </w:p>
    <w:p w14:paraId="77E825D6" w14:textId="77777777" w:rsidR="00C9307D" w:rsidRPr="00CB245E" w:rsidRDefault="00C9307D" w:rsidP="00CB245E">
      <w:pPr>
        <w:pStyle w:val="CGPC-elearning"/>
      </w:pPr>
      <w:r w:rsidRPr="00CB245E">
        <w:t>Meubles corporels</w:t>
      </w:r>
    </w:p>
    <w:p w14:paraId="20008665" w14:textId="77777777" w:rsidR="00C9307D" w:rsidRPr="00CB245E" w:rsidRDefault="00C9307D" w:rsidP="00CB245E">
      <w:pPr>
        <w:pStyle w:val="CGPC-elearning"/>
      </w:pPr>
      <w:r w:rsidRPr="00CB245E">
        <w:t>Meubles meublants</w:t>
      </w:r>
    </w:p>
    <w:p w14:paraId="4F3089B6" w14:textId="77777777" w:rsidR="00C9307D" w:rsidRPr="00CB245E" w:rsidRDefault="00C9307D" w:rsidP="00CB245E">
      <w:pPr>
        <w:pStyle w:val="CGPC-elearning"/>
      </w:pPr>
      <w:r w:rsidRPr="00CB245E">
        <w:t>En cas de vente public, le prix net de la vente frais déduit.</w:t>
      </w:r>
    </w:p>
    <w:p w14:paraId="141FEDBA" w14:textId="77777777" w:rsidR="00C9307D" w:rsidRPr="00CB245E" w:rsidRDefault="00C9307D" w:rsidP="00CB245E">
      <w:pPr>
        <w:pStyle w:val="CGPC-elearning"/>
      </w:pPr>
      <w:r w:rsidRPr="00CB245E">
        <w:t>Sur estimation d’un inventaire notarié</w:t>
      </w:r>
    </w:p>
    <w:p w14:paraId="27EFAD8C" w14:textId="74C26CBD" w:rsidR="00C9307D" w:rsidRPr="00CB245E" w:rsidRDefault="0049661D" w:rsidP="00CB245E">
      <w:pPr>
        <w:pStyle w:val="CGPC-elearning"/>
      </w:pPr>
      <w:r w:rsidRPr="00CB245E">
        <w:t>À</w:t>
      </w:r>
      <w:r w:rsidR="00C9307D" w:rsidRPr="00CB245E">
        <w:t xml:space="preserve"> défaut, sur une valeur forfaitaire de 5% des autres biens du défunt composant l’actif successoral avant déduction du passif.</w:t>
      </w:r>
    </w:p>
    <w:p w14:paraId="30E19772" w14:textId="77777777" w:rsidR="00C9307D" w:rsidRPr="00CB245E" w:rsidRDefault="00C9307D" w:rsidP="00CB245E">
      <w:pPr>
        <w:pStyle w:val="CGPC-elearning"/>
      </w:pPr>
      <w:r w:rsidRPr="00CB245E">
        <w:t>Bijoux, pierreries, objets d’art et de collection</w:t>
      </w:r>
    </w:p>
    <w:p w14:paraId="597BC41C" w14:textId="77777777" w:rsidR="00C9307D" w:rsidRPr="00CB245E" w:rsidRDefault="00C9307D" w:rsidP="00CB245E">
      <w:pPr>
        <w:pStyle w:val="CGPC-elearning"/>
      </w:pPr>
      <w:r w:rsidRPr="00CB245E">
        <w:t>En cas de vente public, le prix net de la vente frais déduit.</w:t>
      </w:r>
    </w:p>
    <w:p w14:paraId="7C1F3BE3" w14:textId="77777777" w:rsidR="00C9307D" w:rsidRPr="00CB245E" w:rsidRDefault="00C9307D" w:rsidP="00CB245E">
      <w:pPr>
        <w:pStyle w:val="CGPC-elearning"/>
      </w:pPr>
      <w:r w:rsidRPr="00CB245E">
        <w:t>Sur estimation d’un inventaire</w:t>
      </w:r>
    </w:p>
    <w:p w14:paraId="55496BE0" w14:textId="77777777" w:rsidR="00C9307D" w:rsidRPr="00CB245E" w:rsidRDefault="00C9307D" w:rsidP="00CB245E">
      <w:pPr>
        <w:pStyle w:val="CGPC-elearning"/>
      </w:pPr>
      <w:r w:rsidRPr="00CB245E">
        <w:t>Sur l’évaluation intégrée dans un contrat d’assurance contre le vol ou l’incendie</w:t>
      </w:r>
    </w:p>
    <w:p w14:paraId="7CBC4650" w14:textId="77777777" w:rsidR="00C9307D" w:rsidRPr="00CB245E" w:rsidRDefault="00C9307D" w:rsidP="00CB245E">
      <w:pPr>
        <w:pStyle w:val="CGPC-elearning"/>
      </w:pPr>
      <w:r w:rsidRPr="00CB245E">
        <w:t>Titres de sociétés et assimilés</w:t>
      </w:r>
    </w:p>
    <w:p w14:paraId="5DE27860" w14:textId="77777777" w:rsidR="00C9307D" w:rsidRPr="00CB245E" w:rsidRDefault="00C9307D" w:rsidP="00CB245E">
      <w:pPr>
        <w:pStyle w:val="CGPC-elearning"/>
      </w:pPr>
      <w:r w:rsidRPr="00CB245E">
        <w:t>Les valeurs cotées sont évaluées d’après le cours moyen de la bourse au jour du décès.</w:t>
      </w:r>
    </w:p>
    <w:p w14:paraId="5430EAE4" w14:textId="77777777" w:rsidR="00C9307D" w:rsidRPr="00CB245E" w:rsidRDefault="00C9307D" w:rsidP="00CB245E">
      <w:pPr>
        <w:pStyle w:val="CGPC-elearning"/>
      </w:pPr>
      <w:r w:rsidRPr="00CB245E">
        <w:t>Les valeurs mobilières non cotées font l’objet d’une déclaration détaillée et estimative (valeur mathématique ou valeur intrinsèque composée de la valeur de l’actif, diminuée du passif et diminué par le nombre de titre)</w:t>
      </w:r>
    </w:p>
    <w:p w14:paraId="73B01BDE" w14:textId="77777777" w:rsidR="00C9307D" w:rsidRPr="00CB245E" w:rsidRDefault="00C9307D" w:rsidP="00CB245E">
      <w:pPr>
        <w:pStyle w:val="CGPC-elearning"/>
      </w:pPr>
      <w:r w:rsidRPr="00CB245E">
        <w:t>Créances</w:t>
      </w:r>
    </w:p>
    <w:p w14:paraId="462A1B32" w14:textId="77777777" w:rsidR="00C9307D" w:rsidRPr="00CB245E" w:rsidRDefault="00C9307D" w:rsidP="00CB245E">
      <w:pPr>
        <w:pStyle w:val="CGPC-elearning"/>
      </w:pPr>
      <w:r w:rsidRPr="00CB245E">
        <w:t>Les créances dues au défunt au jour de son décès sont intégrées pour leur montant nominal et les intérêts échus et non payés.</w:t>
      </w:r>
    </w:p>
    <w:p w14:paraId="58621744"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46237E32"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5AAD0C9E" w14:textId="77777777" w:rsidR="00C9307D" w:rsidRPr="00CB245E" w:rsidRDefault="00C9307D" w:rsidP="00CB245E">
      <w:pPr>
        <w:pStyle w:val="Titre2"/>
      </w:pPr>
      <w:bookmarkStart w:id="5" w:name="_Toc230697783"/>
      <w:r w:rsidRPr="00CB245E">
        <w:lastRenderedPageBreak/>
        <w:t>LES BIENS EXONÉRÉS (totalement ou partiellement)</w:t>
      </w:r>
      <w:bookmarkEnd w:id="5"/>
    </w:p>
    <w:p w14:paraId="3BC9FC0A" w14:textId="77777777" w:rsidR="00C9307D" w:rsidRPr="00CB245E" w:rsidRDefault="00C9307D" w:rsidP="00CB245E">
      <w:pPr>
        <w:pStyle w:val="Titre3"/>
        <w:numPr>
          <w:ilvl w:val="0"/>
          <w:numId w:val="11"/>
        </w:numPr>
      </w:pPr>
      <w:bookmarkStart w:id="6" w:name="_Toc230697784"/>
      <w:r w:rsidRPr="00CB245E">
        <w:t>Les capitaux d’assurance-vie versés en cas de décès</w:t>
      </w:r>
      <w:bookmarkEnd w:id="6"/>
      <w:r w:rsidRPr="00CB245E">
        <w:t xml:space="preserve"> </w:t>
      </w:r>
    </w:p>
    <w:p w14:paraId="4ED6E206" w14:textId="77777777" w:rsidR="00C9307D" w:rsidRPr="00CB245E" w:rsidRDefault="00C9307D" w:rsidP="00CB245E">
      <w:pPr>
        <w:pStyle w:val="CGPC-elearning"/>
      </w:pPr>
      <w:r w:rsidRPr="00CB245E">
        <w:t xml:space="preserve">Exonération partielle des ¾ de la </w:t>
      </w:r>
      <w:proofErr w:type="gramStart"/>
      <w:r w:rsidRPr="00CB245E">
        <w:t>valeur  des</w:t>
      </w:r>
      <w:proofErr w:type="gramEnd"/>
      <w:r w:rsidRPr="00CB245E">
        <w:t xml:space="preserve"> entreprises cédés lors de Transmission d’entreprise par décès ou donation de parts ou actions de société faisant l’objet d’un engagement collectif de conservation (voir Pacte DUTREIL)</w:t>
      </w:r>
    </w:p>
    <w:p w14:paraId="24A9EA94" w14:textId="77777777" w:rsidR="00C9307D" w:rsidRPr="00CB245E" w:rsidRDefault="00C9307D" w:rsidP="00CB245E">
      <w:pPr>
        <w:pStyle w:val="CGPC-elearning"/>
      </w:pPr>
      <w:r w:rsidRPr="00CB245E">
        <w:rPr>
          <w:b/>
        </w:rPr>
        <w:t>Les immeubles et droits immobiliers</w:t>
      </w:r>
      <w:proofErr w:type="gramStart"/>
      <w:r w:rsidRPr="00CB245E">
        <w:rPr>
          <w:b/>
        </w:rPr>
        <w:t> :</w:t>
      </w:r>
      <w:r w:rsidRPr="00CB245E">
        <w:t>exonération</w:t>
      </w:r>
      <w:proofErr w:type="gramEnd"/>
      <w:r w:rsidRPr="00CB245E">
        <w:t xml:space="preserve"> partielle (50 % de leur valeur), lors de leur première transmission à titre gratuit, si les titres de propriété ont été reconstitués par un acte transcrit ou publié entre le 1</w:t>
      </w:r>
      <w:r w:rsidRPr="00CB245E">
        <w:rPr>
          <w:vertAlign w:val="superscript"/>
        </w:rPr>
        <w:t>er</w:t>
      </w:r>
      <w:r w:rsidRPr="00CB245E">
        <w:t> octobre 2014 et le 31 décembre </w:t>
      </w:r>
      <w:proofErr w:type="gramStart"/>
      <w:r w:rsidRPr="00CB245E">
        <w:t>2017 .</w:t>
      </w:r>
      <w:proofErr w:type="gramEnd"/>
    </w:p>
    <w:p w14:paraId="259906E9" w14:textId="77777777" w:rsidR="00C9307D" w:rsidRPr="00CB245E" w:rsidRDefault="00C9307D" w:rsidP="00CB245E">
      <w:pPr>
        <w:pStyle w:val="CGPC-elearning"/>
      </w:pPr>
      <w:r w:rsidRPr="00CB245E">
        <w:rPr>
          <w:b/>
        </w:rPr>
        <w:t>Les immeubles acquis neufs entre le 01/06/1993 et le 31/12/1994 où entre le 01.</w:t>
      </w:r>
      <w:r w:rsidRPr="00CB245E">
        <w:t>08/1995 et le 31/12.1995 affectées à l’habitation principale supportent lors de la première transmission à titre gratuit d’une exonération partielle de 46 000 € par part, sous condition de durée d’occupation.</w:t>
      </w:r>
    </w:p>
    <w:p w14:paraId="7AAAD5A2" w14:textId="77777777" w:rsidR="00C9307D" w:rsidRPr="00CB245E" w:rsidRDefault="00C9307D" w:rsidP="00CB245E">
      <w:pPr>
        <w:pStyle w:val="CGPC-elearning"/>
      </w:pPr>
      <w:r w:rsidRPr="00CB245E">
        <w:rPr>
          <w:b/>
        </w:rPr>
        <w:t xml:space="preserve">Les </w:t>
      </w:r>
      <w:proofErr w:type="gramStart"/>
      <w:r w:rsidRPr="00CB245E">
        <w:rPr>
          <w:b/>
        </w:rPr>
        <w:t>réversions</w:t>
      </w:r>
      <w:r w:rsidRPr="00CB245E">
        <w:t>(</w:t>
      </w:r>
      <w:proofErr w:type="gramEnd"/>
      <w:r w:rsidRPr="00CB245E">
        <w:t>au profit d’époux ou en ligne directe) </w:t>
      </w:r>
      <w:r w:rsidRPr="00CB245E">
        <w:rPr>
          <w:b/>
        </w:rPr>
        <w:t>de rentes viagères.</w:t>
      </w:r>
    </w:p>
    <w:p w14:paraId="06D2A283" w14:textId="77777777" w:rsidR="00C9307D" w:rsidRPr="00CB245E" w:rsidRDefault="00C9307D" w:rsidP="00CB245E">
      <w:pPr>
        <w:pStyle w:val="CGPC-elearning"/>
      </w:pPr>
      <w:r w:rsidRPr="00CB245E">
        <w:t>Le droit de retour légal des ascendants.</w:t>
      </w:r>
    </w:p>
    <w:p w14:paraId="59B13C67" w14:textId="77777777" w:rsidR="00C9307D" w:rsidRPr="00CB245E" w:rsidRDefault="00C9307D" w:rsidP="00CB245E">
      <w:pPr>
        <w:pStyle w:val="CGPC-elearning"/>
      </w:pPr>
      <w:r w:rsidRPr="00CB245E">
        <w:rPr>
          <w:b/>
        </w:rPr>
        <w:t>Exonération partielle des ¾ de la valeur des bois et forêts et parts de groupements forestiers,</w:t>
      </w:r>
      <w:r w:rsidRPr="00CB245E">
        <w:t> sous conditions d’un engagement d’exploiter durablement pendant 30 ans avec l’exigence de produire un bilan de la « mise en œuvre du document de gestion durable » tous les 10 ans.</w:t>
      </w:r>
    </w:p>
    <w:p w14:paraId="7F6719D3" w14:textId="77777777" w:rsidR="00C9307D" w:rsidRPr="00CB245E" w:rsidRDefault="00C9307D" w:rsidP="00CB245E">
      <w:pPr>
        <w:pStyle w:val="CGPC-elearning"/>
      </w:pPr>
      <w:r w:rsidRPr="00CB245E">
        <w:rPr>
          <w:b/>
        </w:rPr>
        <w:t>Les parts de groupements fonciers agricoles et biens ruraux loués par bail à long terme </w:t>
      </w:r>
      <w:r w:rsidRPr="00CB245E">
        <w:t>à concurrence des 3/4 de la valeur des parts transmises (jusqu’à 101 897 €), puis exonération de 50 % au-delà.</w:t>
      </w:r>
    </w:p>
    <w:p w14:paraId="3156AEC3" w14:textId="77777777" w:rsidR="00C9307D" w:rsidRPr="00CB245E" w:rsidRDefault="00C9307D" w:rsidP="00CB245E">
      <w:pPr>
        <w:pStyle w:val="CGPC-elearning"/>
      </w:pPr>
      <w:r w:rsidRPr="00CB245E">
        <w:rPr>
          <w:b/>
        </w:rPr>
        <w:t>Les dons et legs consentis</w:t>
      </w:r>
      <w:r w:rsidRPr="00CB245E">
        <w:t>, aux collectivités publiques ainsi qu’à certaines associations ou fondations reconnues d’utilité publique françaises ou établis dans l’UE ou dans l’EEE… Les dons consentis à ces organismes par les héritiers dans les 6 mois du décès sont également exonérés de droits.</w:t>
      </w:r>
    </w:p>
    <w:p w14:paraId="657B3319" w14:textId="77777777" w:rsidR="00C9307D" w:rsidRPr="00CB245E" w:rsidRDefault="00C9307D" w:rsidP="00CB245E">
      <w:pPr>
        <w:pStyle w:val="CGPC-elearning"/>
      </w:pPr>
      <w:r w:rsidRPr="00CB245E">
        <w:t>Les œuvres d’art, livre, objets de collection ou de documents de haute valeur artistique dont il est fait don à l’état avec son agrément</w:t>
      </w:r>
    </w:p>
    <w:p w14:paraId="18E3F2FC" w14:textId="1B8653D4" w:rsidR="00C9307D" w:rsidRPr="00CB245E" w:rsidRDefault="00C9307D" w:rsidP="00CB245E">
      <w:pPr>
        <w:pStyle w:val="CGPC-elearning"/>
      </w:pPr>
      <w:r w:rsidRPr="00CB245E">
        <w:t>Les monuments classés ou inscrits à l’inventaire « supplémentaire des monuments historiques » faisant l’objet d’une convention à durée indéterminée prévoyant les modalités de gestion (exonération totale</w:t>
      </w:r>
    </w:p>
    <w:p w14:paraId="7BED5C99" w14:textId="77777777" w:rsidR="00C9307D" w:rsidRPr="00CB245E" w:rsidRDefault="00C9307D" w:rsidP="00CB245E">
      <w:pPr>
        <w:pStyle w:val="Titre3"/>
      </w:pPr>
      <w:bookmarkStart w:id="7" w:name="_Toc230697785"/>
      <w:r w:rsidRPr="00CB245E">
        <w:lastRenderedPageBreak/>
        <w:t>Passif déductible</w:t>
      </w:r>
      <w:bookmarkEnd w:id="7"/>
    </w:p>
    <w:p w14:paraId="5C065C7B" w14:textId="77777777" w:rsidR="00C9307D" w:rsidRPr="00CB245E" w:rsidRDefault="00C9307D" w:rsidP="00CB245E">
      <w:pPr>
        <w:pStyle w:val="CGPC-elearning"/>
      </w:pPr>
      <w:r w:rsidRPr="00CB245E">
        <w:t>De l’actif successoral sont déduites certaines dettes composant le passif.</w:t>
      </w:r>
    </w:p>
    <w:p w14:paraId="7B16C11B" w14:textId="77777777" w:rsidR="00C9307D" w:rsidRPr="00CB245E" w:rsidRDefault="00C9307D" w:rsidP="00CB245E">
      <w:pPr>
        <w:pStyle w:val="CGPC-elearning"/>
      </w:pPr>
      <w:r w:rsidRPr="00CB245E">
        <w:t>Impôts dus par le défunt (hors droit de succession du défunt)</w:t>
      </w:r>
    </w:p>
    <w:p w14:paraId="32FB34A0" w14:textId="77777777" w:rsidR="00C9307D" w:rsidRPr="00CB245E" w:rsidRDefault="00C9307D" w:rsidP="00CB245E">
      <w:pPr>
        <w:pStyle w:val="CGPC-elearning"/>
      </w:pPr>
      <w:r w:rsidRPr="00CB245E">
        <w:t>Emprunts, pour le capital restant dû augmenté des intérêts.</w:t>
      </w:r>
    </w:p>
    <w:p w14:paraId="6A1EB5DD" w14:textId="6733C0E3" w:rsidR="00C9307D" w:rsidRPr="00CB245E" w:rsidRDefault="00C9307D" w:rsidP="00CB245E">
      <w:pPr>
        <w:pStyle w:val="CGPC-elearning"/>
      </w:pPr>
      <w:r w:rsidRPr="00CB245E">
        <w:t>Les frais funéraires pour un montant de 1 500</w:t>
      </w:r>
      <w:r w:rsidR="002959AE" w:rsidRPr="00CB245E">
        <w:t xml:space="preserve"> euros</w:t>
      </w:r>
      <w:r w:rsidRPr="00CB245E">
        <w:t xml:space="preserve"> sans justificatif</w:t>
      </w:r>
    </w:p>
    <w:p w14:paraId="3733D406" w14:textId="77777777" w:rsidR="00C9307D" w:rsidRPr="00CB245E" w:rsidRDefault="00C9307D" w:rsidP="00CB245E">
      <w:pPr>
        <w:pStyle w:val="CGPC-elearning"/>
      </w:pPr>
      <w:r w:rsidRPr="00CB245E">
        <w:t>Du montant des loyers ou indemnités d’occupation remboursé par la succession au conjoint survivant ou au partenaire de PACS au droit temporaire au logement</w:t>
      </w:r>
    </w:p>
    <w:p w14:paraId="5A59C3DE" w14:textId="2E73F9AA" w:rsidR="00C31677" w:rsidRPr="00CB245E" w:rsidRDefault="00C9307D" w:rsidP="00CB245E">
      <w:pPr>
        <w:pStyle w:val="CGPC-elearning"/>
      </w:pPr>
      <w:r w:rsidRPr="00CB245E">
        <w:t>De la rémunération du mandataire à titre posthume sans pouvoir excéder 0.5% de l’actif successoral géré et plafonné à 10 000 €</w:t>
      </w:r>
    </w:p>
    <w:p w14:paraId="323DBD35" w14:textId="77777777" w:rsidR="00C31677" w:rsidRPr="00CB245E" w:rsidRDefault="00C31677" w:rsidP="00CB245E">
      <w:pPr>
        <w:pStyle w:val="CGPC-elearning"/>
      </w:pPr>
      <w:r w:rsidRPr="00CB245E">
        <w:br w:type="page"/>
      </w:r>
    </w:p>
    <w:p w14:paraId="6E6832DB" w14:textId="0354C0F8" w:rsidR="00C9307D" w:rsidRPr="00CB245E" w:rsidRDefault="00E362B0" w:rsidP="00CB245E">
      <w:pPr>
        <w:pStyle w:val="CGPC-elearning"/>
      </w:pPr>
      <w:r w:rsidRPr="00CB245E">
        <w:rPr>
          <w:noProof/>
          <w:bdr w:val="none" w:sz="0" w:space="0" w:color="auto"/>
        </w:rPr>
        <w:lastRenderedPageBreak/>
        <mc:AlternateContent>
          <mc:Choice Requires="wps">
            <w:drawing>
              <wp:anchor distT="0" distB="0" distL="114300" distR="114300" simplePos="0" relativeHeight="251669504" behindDoc="1" locked="0" layoutInCell="1" allowOverlap="1" wp14:anchorId="657B8A63" wp14:editId="759E3945">
                <wp:simplePos x="0" y="0"/>
                <wp:positionH relativeFrom="column">
                  <wp:posOffset>-900752</wp:posOffset>
                </wp:positionH>
                <wp:positionV relativeFrom="paragraph">
                  <wp:posOffset>-81649</wp:posOffset>
                </wp:positionV>
                <wp:extent cx="15735300" cy="8584442"/>
                <wp:effectExtent l="0" t="0" r="19050" b="26670"/>
                <wp:wrapNone/>
                <wp:docPr id="2011095929" name="Rectangle 8"/>
                <wp:cNvGraphicFramePr/>
                <a:graphic xmlns:a="http://schemas.openxmlformats.org/drawingml/2006/main">
                  <a:graphicData uri="http://schemas.microsoft.com/office/word/2010/wordprocessingShape">
                    <wps:wsp>
                      <wps:cNvSpPr/>
                      <wps:spPr>
                        <a:xfrm>
                          <a:off x="0" y="0"/>
                          <a:ext cx="15735300" cy="85844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EE111" id="Rectangle 8" o:spid="_x0000_s1026" style="position:absolute;margin-left:-70.95pt;margin-top:-6.45pt;width:1239pt;height:675.9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oyXwIAABUFAAAOAAAAZHJzL2Uyb0RvYy54bWysVFFP2zAQfp+0/2D5fSQp7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" fillcolor="#4472c4 [3204]" strokecolor="#09101d [484]" strokeweight="1pt"/>
            </w:pict>
          </mc:Fallback>
        </mc:AlternateContent>
      </w:r>
    </w:p>
    <w:p w14:paraId="783F4D37" w14:textId="77777777" w:rsidR="00CB29B6" w:rsidRPr="00CB245E" w:rsidRDefault="00CB29B6" w:rsidP="00CB29B6">
      <w:pPr>
        <w:rPr>
          <w:sz w:val="48"/>
          <w:szCs w:val="48"/>
        </w:rPr>
      </w:pPr>
    </w:p>
    <w:p w14:paraId="2E0B002C" w14:textId="77777777" w:rsidR="00CB29B6" w:rsidRPr="00CB245E" w:rsidRDefault="00CB29B6" w:rsidP="00CB29B6">
      <w:pPr>
        <w:rPr>
          <w:sz w:val="48"/>
          <w:szCs w:val="48"/>
        </w:rPr>
      </w:pPr>
    </w:p>
    <w:p w14:paraId="17D6B226" w14:textId="77777777" w:rsidR="00CB29B6" w:rsidRPr="00CB245E" w:rsidRDefault="00CB29B6" w:rsidP="00CB29B6">
      <w:pPr>
        <w:rPr>
          <w:sz w:val="48"/>
          <w:szCs w:val="48"/>
        </w:rPr>
      </w:pPr>
    </w:p>
    <w:p w14:paraId="3463BBF3" w14:textId="77777777" w:rsidR="00CB29B6" w:rsidRPr="00CB245E" w:rsidRDefault="00CB29B6" w:rsidP="00CB29B6">
      <w:pPr>
        <w:rPr>
          <w:sz w:val="48"/>
          <w:szCs w:val="48"/>
        </w:rPr>
      </w:pPr>
    </w:p>
    <w:p w14:paraId="106C859D" w14:textId="77777777" w:rsidR="00CB29B6" w:rsidRPr="00CB245E" w:rsidRDefault="00CB29B6" w:rsidP="00CB29B6">
      <w:pPr>
        <w:rPr>
          <w:sz w:val="48"/>
          <w:szCs w:val="48"/>
        </w:rPr>
      </w:pPr>
    </w:p>
    <w:p w14:paraId="17A3E2BF" w14:textId="77777777" w:rsidR="00CB29B6" w:rsidRPr="00CB245E" w:rsidRDefault="00CB29B6" w:rsidP="00CB29B6">
      <w:pPr>
        <w:rPr>
          <w:sz w:val="48"/>
          <w:szCs w:val="48"/>
        </w:rPr>
      </w:pPr>
    </w:p>
    <w:p w14:paraId="08355206" w14:textId="2E4E9481" w:rsidR="00C31677" w:rsidRPr="00CB245E" w:rsidRDefault="00C9307D" w:rsidP="00051ECB">
      <w:pPr>
        <w:pStyle w:val="Titre1"/>
      </w:pPr>
      <w:bookmarkStart w:id="8" w:name="_Toc230697786"/>
      <w:r w:rsidRPr="00CB245E">
        <w:t>Mécanisme de calcul des droits de succession</w:t>
      </w:r>
      <w:bookmarkEnd w:id="8"/>
    </w:p>
    <w:p w14:paraId="540B43EF" w14:textId="77777777" w:rsidR="00C31677" w:rsidRPr="00CB245E" w:rsidRDefault="00C31677" w:rsidP="00CB245E">
      <w:pPr>
        <w:pStyle w:val="CGPC-elearning"/>
        <w:rPr>
          <w:color w:val="3A5D9C"/>
          <w:sz w:val="44"/>
          <w:szCs w:val="26"/>
        </w:rPr>
      </w:pPr>
      <w:r w:rsidRPr="00CB245E">
        <w:br w:type="page"/>
      </w:r>
    </w:p>
    <w:p w14:paraId="4A4AC7F7" w14:textId="42DCEF5A" w:rsidR="00C9307D" w:rsidRPr="00CB245E" w:rsidRDefault="00C9307D" w:rsidP="00CB245E">
      <w:pPr>
        <w:pStyle w:val="CGPC-elearning"/>
      </w:pPr>
      <w:r w:rsidRPr="00CB245E">
        <w:lastRenderedPageBreak/>
        <w:t> </w:t>
      </w:r>
      <w:r w:rsidRPr="00CB245E">
        <w:rPr>
          <w:b/>
        </w:rPr>
        <w:t>L’actif successoral</w:t>
      </w:r>
      <w:r w:rsidRPr="00CB245E">
        <w:t> est la valeur totale des biens formant la succession du défunt</w:t>
      </w:r>
    </w:p>
    <w:p w14:paraId="31E61F0E" w14:textId="77777777" w:rsidR="00C9307D" w:rsidRPr="00CB245E" w:rsidRDefault="00C9307D" w:rsidP="00CB245E">
      <w:pPr>
        <w:pStyle w:val="CGPC-elearning"/>
      </w:pPr>
      <w:r w:rsidRPr="00CB245E">
        <w:t>L’actif net est calculé en soustrayant la valeur des dettes du défunt à la valeur de l’actif brut.</w:t>
      </w:r>
    </w:p>
    <w:p w14:paraId="64422B22" w14:textId="77777777" w:rsidR="00C9307D" w:rsidRPr="00CB245E" w:rsidRDefault="00C9307D" w:rsidP="00CB245E">
      <w:pPr>
        <w:pStyle w:val="CGPC-elearning"/>
      </w:pPr>
      <w:r w:rsidRPr="00CB245E">
        <w:t>L’actif net est ensuite divisé entre les différents héritiers ou légataires en suivant les règles définies par la loi et l’éventuel testament.</w:t>
      </w:r>
    </w:p>
    <w:p w14:paraId="597DA964" w14:textId="77777777" w:rsidR="00C9307D" w:rsidRPr="00CB245E" w:rsidRDefault="00C9307D" w:rsidP="00CB245E">
      <w:pPr>
        <w:pStyle w:val="CGPC-elearning"/>
      </w:pPr>
      <w:r w:rsidRPr="00CB245E">
        <w:t>Ainsi déterminé, </w:t>
      </w:r>
      <w:r w:rsidRPr="00CB245E">
        <w:rPr>
          <w:b/>
        </w:rPr>
        <w:t>l’actif successoral </w:t>
      </w:r>
      <w:r w:rsidRPr="00CB245E">
        <w:t>est ensuite </w:t>
      </w:r>
      <w:r w:rsidRPr="00CB245E">
        <w:rPr>
          <w:b/>
        </w:rPr>
        <w:t>réparti entre les héritiers </w:t>
      </w:r>
      <w:r w:rsidRPr="00CB245E">
        <w:t>selon les règles de dévolution légale et / ou conformément aux dispositions prises par le défunt de son vivant, par testament ou donation.</w:t>
      </w:r>
    </w:p>
    <w:p w14:paraId="44D84CB3" w14:textId="77777777" w:rsidR="00C9307D" w:rsidRPr="00CB245E" w:rsidRDefault="00C9307D" w:rsidP="00CB245E">
      <w:pPr>
        <w:pStyle w:val="CGPC-elearning"/>
      </w:pPr>
      <w:r w:rsidRPr="00CB245E">
        <w:t>Le calcul des droits s’effectue donc sur la part nette (passif déduit) qui revient à chaque héritier ou légataire.</w:t>
      </w:r>
    </w:p>
    <w:p w14:paraId="39035408" w14:textId="77777777" w:rsidR="00C9307D" w:rsidRPr="00CB245E" w:rsidRDefault="00C9307D" w:rsidP="00CB245E">
      <w:pPr>
        <w:pStyle w:val="CGPC-elearning"/>
      </w:pPr>
      <w:r w:rsidRPr="00CB245E">
        <w:t>Un même bien peut être réparti entre plusieurs héritiers sous forme d’usufruit et de nue-propriété. Il y a donc lieu d’évaluer à ce moment la valeur du bien ainsi transmis, et surtout la valeur de la part revenant à chacun.</w:t>
      </w:r>
    </w:p>
    <w:p w14:paraId="4FBB8B0D" w14:textId="77777777" w:rsidR="00C9307D" w:rsidRPr="00CB245E" w:rsidRDefault="00C9307D" w:rsidP="00CB245E">
      <w:pPr>
        <w:pStyle w:val="CGPC-elearning"/>
      </w:pPr>
      <w:r w:rsidRPr="00CB245E">
        <w:t>Chaque héritier bénéficie d’un abattement (dont le montant est variable selon le lien de parenté avec le défunt) avant de soumettre sa part successorale au </w:t>
      </w:r>
      <w:r w:rsidRPr="00CB245E">
        <w:rPr>
          <w:b/>
        </w:rPr>
        <w:t>barème progressif </w:t>
      </w:r>
      <w:r w:rsidRPr="00CB245E">
        <w:t>de l’impôt.</w:t>
      </w:r>
    </w:p>
    <w:p w14:paraId="68D24AE3" w14:textId="77777777" w:rsidR="00C9307D" w:rsidRPr="00CB245E" w:rsidRDefault="00C9307D" w:rsidP="00CB245E">
      <w:pPr>
        <w:pStyle w:val="CGPC-elearning"/>
      </w:pPr>
      <w:r w:rsidRPr="00CB245E">
        <w:t>Enfin, selon leur nombre d’enfants et le lien de parenté existant avec le défunt, les héritiers peuvent bénéficier d’une </w:t>
      </w:r>
      <w:r w:rsidRPr="00CB245E">
        <w:rPr>
          <w:b/>
        </w:rPr>
        <w:t>réduction </w:t>
      </w:r>
      <w:r w:rsidRPr="00CB245E">
        <w:t>sur les droits de succession.</w:t>
      </w:r>
    </w:p>
    <w:p w14:paraId="668FC625" w14:textId="77777777" w:rsidR="00C9307D" w:rsidRPr="00CB245E" w:rsidRDefault="00C9307D" w:rsidP="00CB245E">
      <w:pPr>
        <w:pStyle w:val="CGPC-elearning"/>
      </w:pPr>
      <w:r w:rsidRPr="00CB245E">
        <w:t> </w:t>
      </w:r>
    </w:p>
    <w:p w14:paraId="34B177EC" w14:textId="77777777" w:rsidR="00C9307D" w:rsidRPr="00CB245E" w:rsidRDefault="00C9307D" w:rsidP="00CB245E">
      <w:pPr>
        <w:pStyle w:val="CGPC-elearning"/>
      </w:pPr>
      <w:r w:rsidRPr="00CB245E">
        <w:rPr>
          <w:b/>
        </w:rPr>
        <w:t>À noter : </w:t>
      </w:r>
      <w:r w:rsidRPr="00CB245E">
        <w:t>depuis la loi du 14 mars 2016 les « adoptés simples » peuvent dans certains cas bénéficier du même régime fiscal que les autres enfants (alors qu’auparavant les droits de succession applicables pour l’adopté simple étaient de 60 %). Ces cas sont les suivants :</w:t>
      </w:r>
    </w:p>
    <w:p w14:paraId="17526397" w14:textId="77777777" w:rsidR="00C9307D" w:rsidRPr="00CB245E" w:rsidRDefault="00C9307D" w:rsidP="00CB245E">
      <w:pPr>
        <w:pStyle w:val="CGPC-elearning"/>
      </w:pPr>
      <w:r w:rsidRPr="00CB245E">
        <w:t>si l’adopté est mineur au moment du décès de l’adoptant ;</w:t>
      </w:r>
    </w:p>
    <w:p w14:paraId="4EC35CF0" w14:textId="77777777" w:rsidR="00C9307D" w:rsidRPr="00CB245E" w:rsidRDefault="00C9307D" w:rsidP="00CB245E">
      <w:pPr>
        <w:pStyle w:val="CGPC-elearning"/>
      </w:pPr>
      <w:r w:rsidRPr="00CB245E">
        <w:t>si l’adopté est majeur lors du décès de l’adoptant et qu’il a reçu de l’adoptant des secours et des soins non interrompus, au titre d’une prise en charge continue et principale, pendant au moins cinq ans durant sa minorité, ou au moins dix ans durant sa majorité.</w:t>
      </w:r>
    </w:p>
    <w:p w14:paraId="37D14F29" w14:textId="77777777" w:rsidR="00C9307D" w:rsidRPr="00CB245E" w:rsidRDefault="00C9307D" w:rsidP="00CB245E">
      <w:pPr>
        <w:pStyle w:val="CGPC-elearning"/>
      </w:pPr>
      <w:r w:rsidRPr="00CB245E">
        <w:t>Ces dispositions s’appliquent aux décès survenus depuis le 16 mars 2016. Pour les droits de succession dont le fait générateur est antérieur à cette date, le contribuable peut demander à l’administration de procéder à la remise des droits restés impayés, pour la partie excédant les droits qui auraient été dus si les dispositions précédentes avaient été en vigueur au moment du décès de l’adoptant.</w:t>
      </w:r>
    </w:p>
    <w:p w14:paraId="73D6A7EA"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0CF4BBEA" w14:textId="7E27881D" w:rsidR="00C9307D" w:rsidRPr="00CB245E" w:rsidRDefault="00C9307D" w:rsidP="00CB245E">
      <w:pPr>
        <w:pStyle w:val="Titre2"/>
        <w:numPr>
          <w:ilvl w:val="0"/>
          <w:numId w:val="12"/>
        </w:numPr>
      </w:pPr>
      <w:bookmarkStart w:id="9" w:name="_Toc230697787"/>
      <w:r w:rsidRPr="00CB245E">
        <w:lastRenderedPageBreak/>
        <w:t>Les personnes exonérées de droits de succession</w:t>
      </w:r>
      <w:bookmarkEnd w:id="9"/>
    </w:p>
    <w:p w14:paraId="3685152A" w14:textId="77777777" w:rsidR="00C9307D" w:rsidRPr="00CB245E" w:rsidRDefault="00C9307D" w:rsidP="00C9307D">
      <w:pPr>
        <w:spacing w:after="0" w:line="240" w:lineRule="auto"/>
        <w:textAlignment w:val="baseline"/>
        <w:rPr>
          <w:rFonts w:eastAsia="Times New Roman" w:cs="Open Sans"/>
          <w:b/>
          <w:bCs/>
          <w:color w:val="666666"/>
          <w:sz w:val="21"/>
          <w:szCs w:val="21"/>
          <w:bdr w:val="none" w:sz="0" w:space="0" w:color="auto" w:frame="1"/>
          <w:lang w:eastAsia="fr-FR"/>
        </w:rPr>
      </w:pPr>
    </w:p>
    <w:p w14:paraId="23D9B5E2" w14:textId="4D9DB712" w:rsidR="00C9307D" w:rsidRPr="00CB245E" w:rsidRDefault="00C9307D" w:rsidP="00CB245E">
      <w:pPr>
        <w:pStyle w:val="CGPC-elearning"/>
      </w:pPr>
      <w:r w:rsidRPr="00CB245E">
        <w:t>L’exonération de droits de succession concerne :</w:t>
      </w:r>
    </w:p>
    <w:p w14:paraId="72236994" w14:textId="77777777" w:rsidR="00C9307D" w:rsidRPr="00CB245E" w:rsidRDefault="00C9307D" w:rsidP="00CB245E">
      <w:pPr>
        <w:pStyle w:val="CGPC-elearning"/>
      </w:pPr>
      <w:r w:rsidRPr="00CB245E">
        <w:t xml:space="preserve">le conjoint </w:t>
      </w:r>
      <w:proofErr w:type="gramStart"/>
      <w:r w:rsidRPr="00CB245E">
        <w:t>survivant;</w:t>
      </w:r>
      <w:proofErr w:type="gramEnd"/>
    </w:p>
    <w:p w14:paraId="539641BC" w14:textId="77777777" w:rsidR="00C9307D" w:rsidRPr="00CB245E" w:rsidRDefault="00C9307D" w:rsidP="00CB245E">
      <w:pPr>
        <w:pStyle w:val="CGPC-elearning"/>
      </w:pPr>
      <w:r w:rsidRPr="00CB245E">
        <w:t>le partenaire pacsé survivant (Attention : nécessité de faire un testament pour rendre le partenaire héritier. Il ne le devient pas automatiquement du fait du PACS) ;</w:t>
      </w:r>
    </w:p>
    <w:p w14:paraId="4664A396" w14:textId="77777777" w:rsidR="00C9307D" w:rsidRPr="00CB245E" w:rsidRDefault="00C9307D" w:rsidP="00CB245E">
      <w:pPr>
        <w:pStyle w:val="CGPC-elearning"/>
      </w:pPr>
      <w:r w:rsidRPr="00CB245E">
        <w:t>les frères et sœurs vivant sous le même toit quand les conditions suivantes sont réunies :</w:t>
      </w:r>
    </w:p>
    <w:p w14:paraId="1DE4869D" w14:textId="6679D0A7" w:rsidR="00C9307D" w:rsidRPr="00CB245E" w:rsidRDefault="00C9307D" w:rsidP="00CB245E">
      <w:pPr>
        <w:pStyle w:val="CGPC-elearning"/>
        <w:numPr>
          <w:ilvl w:val="0"/>
          <w:numId w:val="10"/>
        </w:numPr>
      </w:pPr>
      <w:r w:rsidRPr="00CB245E">
        <w:t>le frère ou la sœur survivant était, au moment du décès, célibataire, veuf,</w:t>
      </w:r>
      <w:r w:rsidR="00370167" w:rsidRPr="00CB245E">
        <w:t xml:space="preserve"> </w:t>
      </w:r>
      <w:r w:rsidRPr="00CB245E">
        <w:t>divorcé ou séparé de corps,</w:t>
      </w:r>
    </w:p>
    <w:p w14:paraId="630CF5B2" w14:textId="7282968E" w:rsidR="00C9307D" w:rsidRPr="00CB245E" w:rsidRDefault="00C9307D" w:rsidP="00CB245E">
      <w:pPr>
        <w:pStyle w:val="CGPC-elearning"/>
        <w:numPr>
          <w:ilvl w:val="0"/>
          <w:numId w:val="10"/>
        </w:numPr>
      </w:pPr>
      <w:r w:rsidRPr="00CB245E">
        <w:t>il était, toujours au moment du décès, âgé de plus de 50 ans ou atteint d’une infirmité le mettant dans l’impossibilité de subvenir par son travail aux nécessités de l’existence,</w:t>
      </w:r>
    </w:p>
    <w:p w14:paraId="033AA481" w14:textId="0990F4AE" w:rsidR="00C9307D" w:rsidRPr="00CB245E" w:rsidRDefault="00C9307D" w:rsidP="00CB245E">
      <w:pPr>
        <w:pStyle w:val="CGPC-elearning"/>
        <w:numPr>
          <w:ilvl w:val="0"/>
          <w:numId w:val="10"/>
        </w:numPr>
      </w:pPr>
      <w:r w:rsidRPr="00CB245E">
        <w:t>il était constamment domicilié avec le défunt pendant les 5 années ayant précédé le décès.</w:t>
      </w:r>
    </w:p>
    <w:p w14:paraId="7BC59F7C" w14:textId="77777777" w:rsidR="00C9307D" w:rsidRPr="00CB245E" w:rsidRDefault="00C9307D" w:rsidP="00CB245E">
      <w:pPr>
        <w:pStyle w:val="CGPC-elearning"/>
      </w:pPr>
      <w:r w:rsidRPr="00CB245E">
        <w:t>Les victimes de guerre ou d’acte de terrorisme</w:t>
      </w:r>
    </w:p>
    <w:p w14:paraId="678441D9" w14:textId="77777777" w:rsidR="00C9307D" w:rsidRPr="00CB245E" w:rsidRDefault="00C9307D" w:rsidP="00CB245E">
      <w:pPr>
        <w:pStyle w:val="CGPC-elearning"/>
      </w:pPr>
      <w:r w:rsidRPr="00CB245E">
        <w:t>Les militaires décédés dans le cadre d’opérations extérieures</w:t>
      </w:r>
    </w:p>
    <w:p w14:paraId="57DEFEAB" w14:textId="77777777" w:rsidR="00C9307D" w:rsidRPr="00CB245E" w:rsidRDefault="00C9307D" w:rsidP="00CB245E">
      <w:pPr>
        <w:pStyle w:val="CGPC-elearning"/>
      </w:pPr>
      <w:r w:rsidRPr="00CB245E">
        <w:t>Les sapeurs-pompiers, policiers, gendarmes, agents des douanes, cités à l’ordre de la Nation, en cas de décès dans l’accomplissement de leurs missions ou des blessures reçues lors de ces missions.</w:t>
      </w:r>
    </w:p>
    <w:p w14:paraId="20DCC1FC"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500AAE8C" w14:textId="3A1C6A40" w:rsidR="00C9307D" w:rsidRPr="00CB245E" w:rsidRDefault="00C9307D" w:rsidP="00CB245E">
      <w:pPr>
        <w:pStyle w:val="Titre2"/>
      </w:pPr>
      <w:bookmarkStart w:id="10" w:name="_Toc230697788"/>
      <w:r w:rsidRPr="00CB245E">
        <w:t xml:space="preserve">Les abattements liés au lien de </w:t>
      </w:r>
      <w:proofErr w:type="gramStart"/>
      <w:r w:rsidRPr="00CB245E">
        <w:t>parenté  :</w:t>
      </w:r>
      <w:bookmarkEnd w:id="10"/>
      <w:proofErr w:type="gramEnd"/>
    </w:p>
    <w:p w14:paraId="76B6F4B9"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p>
    <w:p w14:paraId="44D70E12" w14:textId="6F24ED78" w:rsidR="00C9307D" w:rsidRPr="00CB245E" w:rsidRDefault="00C9307D" w:rsidP="00CB245E">
      <w:pPr>
        <w:pStyle w:val="CGPC-elearning"/>
      </w:pPr>
      <w:r w:rsidRPr="00CB245E">
        <w:t>Avant d’être soumise au barème des droits de succession, </w:t>
      </w:r>
      <w:r w:rsidRPr="00CB245E">
        <w:rPr>
          <w:b/>
        </w:rPr>
        <w:t>chaque part bénéficie d’un </w:t>
      </w:r>
      <w:r w:rsidRPr="00CB245E">
        <w:t>abattement ; le montant de cet abattement dépend du lien de parenté existant entre l’héritier (ou le légataire) et le défunt.</w:t>
      </w:r>
    </w:p>
    <w:p w14:paraId="027FB780" w14:textId="670FFE23" w:rsidR="00C9307D" w:rsidRPr="00CB245E" w:rsidRDefault="00C9307D" w:rsidP="00CB245E">
      <w:pPr>
        <w:pStyle w:val="CGPC-elearning"/>
        <w:rPr>
          <w:b/>
        </w:rPr>
      </w:pPr>
      <w:r w:rsidRPr="00CB245E">
        <w:rPr>
          <w:b/>
        </w:rPr>
        <w:t>Successions en ligne directe </w:t>
      </w:r>
      <w:r w:rsidRPr="00CB245E">
        <w:t>: pour les successions ouvertes à compter du 17 août 2012, l’abattement est de </w:t>
      </w:r>
      <w:r w:rsidRPr="00CB245E">
        <w:rPr>
          <w:b/>
        </w:rPr>
        <w:t>100 000 €. </w:t>
      </w:r>
      <w:r w:rsidRPr="00CB245E">
        <w:br/>
        <w:t>Il bénéficie aux ascendants et aux enfants vivants ou représentés, à la suite d’un décès ou d’une renonciation.</w:t>
      </w:r>
    </w:p>
    <w:p w14:paraId="78AF6238" w14:textId="6C90DF07" w:rsidR="00C9307D" w:rsidRPr="00CB245E" w:rsidRDefault="00C9307D" w:rsidP="00CB245E">
      <w:pPr>
        <w:pStyle w:val="CGPC-elearning"/>
      </w:pPr>
      <w:r w:rsidRPr="00CB245E">
        <w:rPr>
          <w:b/>
        </w:rPr>
        <w:lastRenderedPageBreak/>
        <w:t xml:space="preserve">Successions entre frères et </w:t>
      </w:r>
      <w:r w:rsidR="009E1E17" w:rsidRPr="00CB245E">
        <w:rPr>
          <w:b/>
        </w:rPr>
        <w:t>sœurs</w:t>
      </w:r>
      <w:r w:rsidRPr="00CB245E">
        <w:rPr>
          <w:b/>
        </w:rPr>
        <w:t> </w:t>
      </w:r>
      <w:r w:rsidRPr="00CB245E">
        <w:t xml:space="preserve">(hors cas de frères et </w:t>
      </w:r>
      <w:r w:rsidR="00440AC8" w:rsidRPr="00CB245E">
        <w:t>sœurs</w:t>
      </w:r>
      <w:r w:rsidRPr="00CB245E">
        <w:t xml:space="preserve"> vivant sous le même toit) : pour les successions ouvertes à compter du 1</w:t>
      </w:r>
      <w:r w:rsidRPr="00CB245E">
        <w:rPr>
          <w:vertAlign w:val="superscript"/>
        </w:rPr>
        <w:t>er </w:t>
      </w:r>
      <w:r w:rsidRPr="00CB245E">
        <w:t>janvier 2012, l’abattement est de </w:t>
      </w:r>
      <w:r w:rsidRPr="00CB245E">
        <w:rPr>
          <w:b/>
        </w:rPr>
        <w:t>15 932 €.</w:t>
      </w:r>
    </w:p>
    <w:p w14:paraId="7B57EB70" w14:textId="77777777" w:rsidR="00C9307D" w:rsidRPr="00CB245E" w:rsidRDefault="00C9307D" w:rsidP="00CB245E">
      <w:pPr>
        <w:pStyle w:val="CGPC-elearning"/>
      </w:pPr>
      <w:r w:rsidRPr="00CB245E">
        <w:rPr>
          <w:b/>
        </w:rPr>
        <w:t>Successions entre oncles ou tantes et neveux ou nièces </w:t>
      </w:r>
      <w:r w:rsidRPr="00CB245E">
        <w:t>: pour les successions ouvertes à compter du 1</w:t>
      </w:r>
      <w:r w:rsidRPr="00CB245E">
        <w:rPr>
          <w:vertAlign w:val="superscript"/>
        </w:rPr>
        <w:t>er </w:t>
      </w:r>
      <w:r w:rsidRPr="00CB245E">
        <w:t>janvier 2012, l’abattement est de </w:t>
      </w:r>
      <w:r w:rsidRPr="00CB245E">
        <w:rPr>
          <w:b/>
        </w:rPr>
        <w:t>7 967 €</w:t>
      </w:r>
      <w:r w:rsidRPr="00CB245E">
        <w:t>sur la part de chacun des neveux et nièces.</w:t>
      </w:r>
    </w:p>
    <w:p w14:paraId="76F02A96" w14:textId="77777777" w:rsidR="00C9307D" w:rsidRPr="00CB245E" w:rsidRDefault="00C9307D" w:rsidP="00CB245E">
      <w:pPr>
        <w:pStyle w:val="CGPC-elearning"/>
      </w:pPr>
      <w:r w:rsidRPr="00CB245E">
        <w:rPr>
          <w:b/>
        </w:rPr>
        <w:t>Abattement spécifique pour personnes handicapées </w:t>
      </w:r>
      <w:r w:rsidRPr="00CB245E">
        <w:t>physiquement ou mentalement : pour les successions ouvertes à compter du 1</w:t>
      </w:r>
      <w:r w:rsidRPr="00CB245E">
        <w:rPr>
          <w:vertAlign w:val="superscript"/>
        </w:rPr>
        <w:t>er </w:t>
      </w:r>
      <w:r w:rsidRPr="00CB245E">
        <w:t>janvier 2012, l’abattement est de</w:t>
      </w:r>
      <w:r w:rsidRPr="00CB245E">
        <w:rPr>
          <w:b/>
        </w:rPr>
        <w:t> 159 325 €.</w:t>
      </w:r>
      <w:r w:rsidRPr="00CB245E">
        <w:br/>
        <w:t xml:space="preserve">L’abattement se cumule, le cas échéant, avec les autres abattements personnels en ligne directe, entre frères et </w:t>
      </w:r>
      <w:proofErr w:type="spellStart"/>
      <w:r w:rsidRPr="00CB245E">
        <w:t>soeurs</w:t>
      </w:r>
      <w:proofErr w:type="spellEnd"/>
      <w:r w:rsidRPr="00CB245E">
        <w:t xml:space="preserve"> ou en faveur des neveux et nièces.</w:t>
      </w:r>
    </w:p>
    <w:p w14:paraId="769EA2EB" w14:textId="77777777" w:rsidR="00C9307D" w:rsidRPr="00CB245E" w:rsidRDefault="00C9307D" w:rsidP="00CB245E">
      <w:pPr>
        <w:pStyle w:val="CGPC-elearning"/>
      </w:pPr>
      <w:r w:rsidRPr="00CB245E">
        <w:rPr>
          <w:b/>
        </w:rPr>
        <w:t>Abattement général </w:t>
      </w:r>
      <w:r w:rsidRPr="00CB245E">
        <w:t>: si aucun des abattements ci-dessus n’est applicable, il est pratiqué un abattement général de </w:t>
      </w:r>
      <w:r w:rsidRPr="00CB245E">
        <w:rPr>
          <w:b/>
        </w:rPr>
        <w:t>1 594 €</w:t>
      </w:r>
      <w:r w:rsidRPr="00CB245E">
        <w:t> sur chaque part successorale.</w:t>
      </w:r>
    </w:p>
    <w:p w14:paraId="3EDCF6E6"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3DF8B431" w14:textId="2277B75C" w:rsidR="00C9307D" w:rsidRPr="00CB245E" w:rsidRDefault="00C9307D" w:rsidP="00CB245E">
      <w:pPr>
        <w:pStyle w:val="Titre2"/>
      </w:pPr>
      <w:r w:rsidRPr="00CB245E">
        <w:t> </w:t>
      </w:r>
      <w:bookmarkStart w:id="11" w:name="_Toc230697789"/>
      <w:r w:rsidRPr="00CB245E">
        <w:t>Principe de la représentation</w:t>
      </w:r>
      <w:bookmarkEnd w:id="11"/>
    </w:p>
    <w:p w14:paraId="38BF82C2" w14:textId="77777777" w:rsidR="00D2768F" w:rsidRPr="00CB245E" w:rsidRDefault="00D2768F" w:rsidP="00C9307D">
      <w:pPr>
        <w:spacing w:after="0" w:line="240" w:lineRule="auto"/>
        <w:textAlignment w:val="baseline"/>
        <w:rPr>
          <w:rFonts w:eastAsia="Times New Roman" w:cs="Open Sans"/>
          <w:color w:val="666666"/>
          <w:sz w:val="21"/>
          <w:szCs w:val="21"/>
          <w:lang w:eastAsia="fr-FR"/>
        </w:rPr>
      </w:pPr>
    </w:p>
    <w:p w14:paraId="09257F17" w14:textId="3086A6F3" w:rsidR="00C9307D" w:rsidRPr="00CB245E" w:rsidRDefault="00C9307D" w:rsidP="00CB245E">
      <w:pPr>
        <w:pStyle w:val="CGPC-elearning"/>
      </w:pPr>
      <w:r w:rsidRPr="00CB245E">
        <w:t>En vertu du principe de la représentation, un enfant peut venir à une succession en représentation de son ascendant direct, si celui-ci est prédécédé ou a renoncé à la succession.</w:t>
      </w:r>
    </w:p>
    <w:p w14:paraId="7E894D2C" w14:textId="61D1FB18" w:rsidR="00C9307D" w:rsidRPr="00CB245E" w:rsidRDefault="00C9307D" w:rsidP="00CB245E">
      <w:pPr>
        <w:pStyle w:val="CGPC-elearning"/>
      </w:pPr>
      <w:r w:rsidRPr="00CB245E">
        <w:t xml:space="preserve">Si plusieurs frères et </w:t>
      </w:r>
      <w:r w:rsidR="00AF59E6" w:rsidRPr="00CB245E">
        <w:t>sœurs</w:t>
      </w:r>
      <w:r w:rsidRPr="00CB245E">
        <w:t xml:space="preserve"> viennent à une succession en vertu du principe de la représentation, ils se partageront alors l’abattement dont aurait bénéficié leur ascendant prédécédé ou renonçant à la succession.</w:t>
      </w:r>
    </w:p>
    <w:p w14:paraId="74629D8C" w14:textId="2CCAB48E" w:rsidR="00C9307D" w:rsidRPr="00CB245E" w:rsidRDefault="00C9307D" w:rsidP="00CB245E">
      <w:pPr>
        <w:pStyle w:val="CGPC-elearning"/>
      </w:pPr>
      <w:r w:rsidRPr="00CB245E">
        <w:t xml:space="preserve">Les neveux et nièces venant à la succession de leurs oncles et tantes en représentation de leurs parents prédécédés ou </w:t>
      </w:r>
      <w:r w:rsidR="00AF59E6" w:rsidRPr="00CB245E">
        <w:t>renonçant</w:t>
      </w:r>
      <w:r w:rsidRPr="00CB245E">
        <w:t xml:space="preserve"> bénéficient du tarif applicable entre frères et </w:t>
      </w:r>
      <w:r w:rsidR="00AF59E6" w:rsidRPr="00CB245E">
        <w:t>sœurs</w:t>
      </w:r>
      <w:r w:rsidRPr="00CB245E">
        <w:t>.</w:t>
      </w:r>
      <w:r w:rsidRPr="00CB245E">
        <w:rPr>
          <w:b/>
          <w:color w:val="3A5D9C"/>
          <w:sz w:val="33"/>
          <w:szCs w:val="33"/>
          <w:u w:val="single"/>
        </w:rPr>
        <w:t> </w:t>
      </w:r>
    </w:p>
    <w:p w14:paraId="0642FAC6" w14:textId="77777777" w:rsidR="00C9307D" w:rsidRPr="00CB245E" w:rsidRDefault="00C9307D" w:rsidP="00C9307D">
      <w:pPr>
        <w:pStyle w:val="Citationintense"/>
        <w:rPr>
          <w:lang w:eastAsia="fr-FR"/>
        </w:rPr>
      </w:pPr>
      <w:r w:rsidRPr="00CB245E">
        <w:rPr>
          <w:bdr w:val="none" w:sz="0" w:space="0" w:color="auto" w:frame="1"/>
          <w:lang w:eastAsia="fr-FR"/>
        </w:rPr>
        <w:t>Exemple</w:t>
      </w:r>
    </w:p>
    <w:p w14:paraId="529B3B98" w14:textId="77777777" w:rsidR="00C9307D" w:rsidRPr="00CB245E" w:rsidRDefault="00C9307D" w:rsidP="00CB245E">
      <w:pPr>
        <w:pStyle w:val="CGPC-elearning"/>
      </w:pPr>
      <w:r w:rsidRPr="00CB245E">
        <w:t>Une personne a deux enfants dont l’un est prédécédé, mais en laissant lui-même deux enfants.</w:t>
      </w:r>
    </w:p>
    <w:p w14:paraId="284A22DE" w14:textId="77777777" w:rsidR="00C9307D" w:rsidRPr="00CB245E" w:rsidRDefault="00C9307D" w:rsidP="00CB245E">
      <w:pPr>
        <w:pStyle w:val="CGPC-elearning"/>
      </w:pPr>
      <w:r w:rsidRPr="00CB245E">
        <w:lastRenderedPageBreak/>
        <w:t>Au décès de cette personne, le premier enfant bénéficiera de l’abattement de 100 000 € et les deux petits-enfants dont le parent est prédécédé se partageront, à parts égales, la moitié de l’abattement de 100 000 € revenant à leur ascendant prédécédé, soit 50 000 € chacun.</w:t>
      </w:r>
    </w:p>
    <w:p w14:paraId="0B110E36" w14:textId="71926212" w:rsidR="00C31677" w:rsidRPr="00CB245E" w:rsidRDefault="00C9307D" w:rsidP="00CB245E">
      <w:pPr>
        <w:pStyle w:val="Titre2"/>
        <w:rPr>
          <w:rFonts w:eastAsia="Times New Roman"/>
        </w:rPr>
      </w:pPr>
      <w:r w:rsidRPr="00CB245E">
        <w:rPr>
          <w:rFonts w:eastAsia="Times New Roman"/>
          <w:bCs/>
          <w:caps/>
          <w:color w:val="333333"/>
          <w:sz w:val="39"/>
          <w:szCs w:val="39"/>
        </w:rPr>
        <w:t> </w:t>
      </w:r>
      <w:bookmarkStart w:id="12" w:name="_Toc230697790"/>
      <w:r w:rsidRPr="00CB245E">
        <w:rPr>
          <w:rFonts w:eastAsia="Times New Roman"/>
        </w:rPr>
        <w:t>Les barèmes des droits de succession</w:t>
      </w:r>
      <w:bookmarkEnd w:id="12"/>
    </w:p>
    <w:p w14:paraId="285AE6CA" w14:textId="20A4CBAA" w:rsidR="00C9307D" w:rsidRPr="00CB245E" w:rsidRDefault="00C9307D" w:rsidP="00CB245E">
      <w:pPr>
        <w:pStyle w:val="CGPC-elearning"/>
      </w:pPr>
      <w:r w:rsidRPr="00CB245E">
        <w:t>Les barèmes sont différents selon le lien de parenté existant entre l’héritier (le légataire) et le défunt (ou le donateur et le donataire).</w:t>
      </w:r>
    </w:p>
    <w:p w14:paraId="42549D90" w14:textId="77777777" w:rsidR="00C9307D" w:rsidRPr="00CB245E" w:rsidRDefault="00C9307D" w:rsidP="00CB245E">
      <w:pPr>
        <w:pStyle w:val="CGPC-elearning"/>
      </w:pPr>
      <w:r w:rsidRPr="00CB245E">
        <w:rPr>
          <w:b/>
        </w:rPr>
        <w:t>Rappel sur les degrés de parenté : </w:t>
      </w:r>
      <w:r w:rsidRPr="00CB245E">
        <w:t>le degré de parenté entre deux personnes se calcule en comptant les générations, en partant de l’un des deux individus, en remontant à l’ancêtre commun, puis en redescendant vers l’autre personne.</w:t>
      </w:r>
    </w:p>
    <w:p w14:paraId="432D7068" w14:textId="77777777" w:rsidR="00C9307D" w:rsidRPr="00CB245E" w:rsidRDefault="00C9307D" w:rsidP="00CB245E">
      <w:pPr>
        <w:pStyle w:val="Titre3"/>
        <w:numPr>
          <w:ilvl w:val="0"/>
          <w:numId w:val="6"/>
        </w:numPr>
      </w:pPr>
      <w:bookmarkStart w:id="13" w:name="_Toc230697791"/>
      <w:r w:rsidRPr="00CB245E">
        <w:t>Exemples</w:t>
      </w:r>
      <w:bookmarkEnd w:id="13"/>
    </w:p>
    <w:p w14:paraId="2F1A2C32" w14:textId="77777777" w:rsidR="00D2768F" w:rsidRPr="00CB245E" w:rsidRDefault="00D2768F" w:rsidP="00C9307D">
      <w:pPr>
        <w:spacing w:after="0" w:line="240" w:lineRule="auto"/>
        <w:textAlignment w:val="baseline"/>
        <w:rPr>
          <w:rFonts w:eastAsia="Times New Roman" w:cs="Open Sans"/>
          <w:color w:val="666666"/>
          <w:sz w:val="21"/>
          <w:szCs w:val="21"/>
          <w:lang w:eastAsia="fr-FR"/>
        </w:rPr>
      </w:pPr>
    </w:p>
    <w:p w14:paraId="413E307B" w14:textId="5B824191" w:rsidR="00C9307D" w:rsidRPr="00CB245E" w:rsidRDefault="00C9307D" w:rsidP="00CB245E">
      <w:pPr>
        <w:pStyle w:val="CGPC-elearning"/>
      </w:pPr>
      <w:r w:rsidRPr="00CB245E">
        <w:t>Des cousins germains sont parents au 4e degré.</w:t>
      </w:r>
    </w:p>
    <w:p w14:paraId="09D6AB57" w14:textId="77777777" w:rsidR="00C9307D" w:rsidRPr="00CB245E" w:rsidRDefault="00C9307D" w:rsidP="00CB245E">
      <w:pPr>
        <w:pStyle w:val="CGPC-elearning"/>
      </w:pPr>
      <w:r w:rsidRPr="00CB245E">
        <w:t>Un petit fils et son grand-père sont parents au 2e degré.</w:t>
      </w:r>
    </w:p>
    <w:p w14:paraId="0B77D51E" w14:textId="77777777" w:rsidR="00C9307D" w:rsidRPr="00CB245E" w:rsidRDefault="00C9307D" w:rsidP="00CB245E">
      <w:pPr>
        <w:pStyle w:val="CGPC-elearning"/>
      </w:pPr>
      <w:r w:rsidRPr="00CB245E">
        <w:t>Un neveu et son oncle (frère de son père ou de sa mère) sont parents au 3e degré.</w:t>
      </w:r>
    </w:p>
    <w:p w14:paraId="0F378F55" w14:textId="77777777" w:rsidR="00C9307D" w:rsidRPr="00CB245E" w:rsidRDefault="00C9307D" w:rsidP="00CB245E">
      <w:pPr>
        <w:pStyle w:val="CGPC-elearning"/>
      </w:pPr>
      <w:r w:rsidRPr="00CB245E">
        <w:t>Les barèmes s’appliquent sur la part nette taxable revenant à chaque héritier après application de l’abattement personnel. Les tarifs sont progressifs par tranche.</w:t>
      </w:r>
    </w:p>
    <w:p w14:paraId="61826287" w14:textId="77777777" w:rsidR="00C9307D" w:rsidRPr="00CB245E" w:rsidRDefault="00C9307D" w:rsidP="00CB245E">
      <w:pPr>
        <w:pStyle w:val="CGPC-elearning"/>
      </w:pPr>
      <w:r w:rsidRPr="00CB245E">
        <w:t>Les tranches du barème des droits de mutation sont actualisées annuellement en fonction de l’inflation.</w:t>
      </w:r>
    </w:p>
    <w:p w14:paraId="620ACD27" w14:textId="7F2645D2" w:rsidR="00C9307D" w:rsidRPr="00CB245E" w:rsidRDefault="00C9307D" w:rsidP="00CB245E">
      <w:pPr>
        <w:pStyle w:val="CGPC-elearning"/>
      </w:pPr>
      <w:r w:rsidRPr="00CB245E">
        <w:t>Droits de succession (et de donation) applicables </w:t>
      </w:r>
      <w:r w:rsidRPr="00CB245E">
        <w:rPr>
          <w:b/>
        </w:rPr>
        <w:t>en ligne directe</w:t>
      </w:r>
      <w:r w:rsidRPr="00CB245E">
        <w:t> (après abattement) en 20</w:t>
      </w:r>
      <w:r w:rsidR="0013660A" w:rsidRPr="00CB245E">
        <w:t xml:space="preserve">25 </w:t>
      </w:r>
      <w:r w:rsidRPr="00CB245E">
        <w:t>(sans revalorisation depuis 2012) :</w:t>
      </w:r>
    </w:p>
    <w:tbl>
      <w:tblPr>
        <w:tblW w:w="11200" w:type="dxa"/>
        <w:tblLook w:val="04A0" w:firstRow="1" w:lastRow="0" w:firstColumn="1" w:lastColumn="0" w:noHBand="0" w:noVBand="1"/>
      </w:tblPr>
      <w:tblGrid>
        <w:gridCol w:w="6380"/>
        <w:gridCol w:w="4820"/>
      </w:tblGrid>
      <w:tr w:rsidR="00786C75" w:rsidRPr="00CB245E" w14:paraId="559BCFEE" w14:textId="77777777" w:rsidTr="00786C75">
        <w:trPr>
          <w:trHeight w:val="735"/>
        </w:trPr>
        <w:tc>
          <w:tcPr>
            <w:tcW w:w="6380" w:type="dxa"/>
            <w:tcBorders>
              <w:top w:val="nil"/>
              <w:left w:val="nil"/>
              <w:bottom w:val="single" w:sz="12" w:space="0" w:color="FFFFFF"/>
              <w:right w:val="single" w:sz="4" w:space="0" w:color="FFFFFF"/>
            </w:tcBorders>
            <w:shd w:val="clear" w:color="156082" w:fill="156082"/>
            <w:vAlign w:val="center"/>
            <w:hideMark/>
          </w:tcPr>
          <w:p w14:paraId="1BCD9A2C" w14:textId="77777777" w:rsidR="00786C75" w:rsidRPr="00CB245E" w:rsidRDefault="00786C75" w:rsidP="00786C75">
            <w:pPr>
              <w:spacing w:after="0" w:line="240" w:lineRule="auto"/>
              <w:jc w:val="center"/>
              <w:rPr>
                <w:rFonts w:eastAsia="Times New Roman" w:cs="Open Sans"/>
                <w:b/>
                <w:bCs/>
                <w:color w:val="FFFFFF"/>
                <w:szCs w:val="32"/>
              </w:rPr>
            </w:pPr>
            <w:r w:rsidRPr="00CB245E">
              <w:rPr>
                <w:rFonts w:eastAsia="Times New Roman" w:cs="Open Sans"/>
                <w:b/>
                <w:bCs/>
                <w:color w:val="FFFFFF"/>
                <w:szCs w:val="32"/>
              </w:rPr>
              <w:t>Fraction de part nette taxable</w:t>
            </w:r>
          </w:p>
        </w:tc>
        <w:tc>
          <w:tcPr>
            <w:tcW w:w="4820" w:type="dxa"/>
            <w:tcBorders>
              <w:top w:val="nil"/>
              <w:left w:val="single" w:sz="4" w:space="0" w:color="FFFFFF"/>
              <w:bottom w:val="single" w:sz="12" w:space="0" w:color="FFFFFF"/>
              <w:right w:val="nil"/>
            </w:tcBorders>
            <w:shd w:val="clear" w:color="156082" w:fill="156082"/>
            <w:vAlign w:val="center"/>
            <w:hideMark/>
          </w:tcPr>
          <w:p w14:paraId="39A04C4C" w14:textId="77777777" w:rsidR="00786C75" w:rsidRPr="00CB245E" w:rsidRDefault="00786C75" w:rsidP="00786C75">
            <w:pPr>
              <w:spacing w:after="0" w:line="240" w:lineRule="auto"/>
              <w:jc w:val="center"/>
              <w:rPr>
                <w:rFonts w:eastAsia="Times New Roman" w:cs="Open Sans"/>
                <w:b/>
                <w:bCs/>
                <w:color w:val="FFFFFF"/>
                <w:szCs w:val="32"/>
              </w:rPr>
            </w:pPr>
            <w:r w:rsidRPr="00CB245E">
              <w:rPr>
                <w:rFonts w:eastAsia="Times New Roman" w:cs="Open Sans"/>
                <w:b/>
                <w:bCs/>
                <w:color w:val="FFFFFF"/>
                <w:szCs w:val="32"/>
              </w:rPr>
              <w:t>Taux applicable</w:t>
            </w:r>
          </w:p>
        </w:tc>
      </w:tr>
      <w:tr w:rsidR="00786C75" w:rsidRPr="00CB245E" w14:paraId="3F078918"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83CCEB" w:fill="83CCEB"/>
            <w:vAlign w:val="center"/>
            <w:hideMark/>
          </w:tcPr>
          <w:p w14:paraId="5584D2DF"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N’excédant pas 8 072 €</w:t>
            </w:r>
          </w:p>
        </w:tc>
        <w:tc>
          <w:tcPr>
            <w:tcW w:w="4820" w:type="dxa"/>
            <w:tcBorders>
              <w:top w:val="single" w:sz="4" w:space="0" w:color="FFFFFF"/>
              <w:left w:val="single" w:sz="4" w:space="0" w:color="FFFFFF"/>
              <w:bottom w:val="single" w:sz="4" w:space="0" w:color="FFFFFF"/>
              <w:right w:val="nil"/>
            </w:tcBorders>
            <w:shd w:val="clear" w:color="83CCEB" w:fill="83CCEB"/>
            <w:vAlign w:val="center"/>
            <w:hideMark/>
          </w:tcPr>
          <w:p w14:paraId="639AA70D"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5%</w:t>
            </w:r>
          </w:p>
        </w:tc>
      </w:tr>
      <w:tr w:rsidR="00786C75" w:rsidRPr="00CB245E" w14:paraId="362C60DC"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C0E6F5" w:fill="C0E6F5"/>
            <w:vAlign w:val="center"/>
            <w:hideMark/>
          </w:tcPr>
          <w:p w14:paraId="1F2342B9"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Comprise entre 8 072 et 12 109 €</w:t>
            </w:r>
          </w:p>
        </w:tc>
        <w:tc>
          <w:tcPr>
            <w:tcW w:w="4820" w:type="dxa"/>
            <w:tcBorders>
              <w:top w:val="single" w:sz="4" w:space="0" w:color="FFFFFF"/>
              <w:left w:val="single" w:sz="4" w:space="0" w:color="FFFFFF"/>
              <w:bottom w:val="single" w:sz="4" w:space="0" w:color="FFFFFF"/>
              <w:right w:val="nil"/>
            </w:tcBorders>
            <w:shd w:val="clear" w:color="C0E6F5" w:fill="C0E6F5"/>
            <w:vAlign w:val="center"/>
            <w:hideMark/>
          </w:tcPr>
          <w:p w14:paraId="26C3875A"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10%</w:t>
            </w:r>
          </w:p>
        </w:tc>
      </w:tr>
      <w:tr w:rsidR="00786C75" w:rsidRPr="00CB245E" w14:paraId="437A5973"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83CCEB" w:fill="83CCEB"/>
            <w:vAlign w:val="center"/>
            <w:hideMark/>
          </w:tcPr>
          <w:p w14:paraId="5F8CB79B"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Comprise entre 12 109 et 15 932 €</w:t>
            </w:r>
          </w:p>
        </w:tc>
        <w:tc>
          <w:tcPr>
            <w:tcW w:w="4820" w:type="dxa"/>
            <w:tcBorders>
              <w:top w:val="single" w:sz="4" w:space="0" w:color="FFFFFF"/>
              <w:left w:val="single" w:sz="4" w:space="0" w:color="FFFFFF"/>
              <w:bottom w:val="single" w:sz="4" w:space="0" w:color="FFFFFF"/>
              <w:right w:val="nil"/>
            </w:tcBorders>
            <w:shd w:val="clear" w:color="83CCEB" w:fill="83CCEB"/>
            <w:vAlign w:val="center"/>
            <w:hideMark/>
          </w:tcPr>
          <w:p w14:paraId="346C8D6D"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15%</w:t>
            </w:r>
          </w:p>
        </w:tc>
      </w:tr>
      <w:tr w:rsidR="00786C75" w:rsidRPr="00CB245E" w14:paraId="09DA1D3D"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C0E6F5" w:fill="C0E6F5"/>
            <w:vAlign w:val="center"/>
            <w:hideMark/>
          </w:tcPr>
          <w:p w14:paraId="47C67C39"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Comprise entre 15 932 et 552 324 €</w:t>
            </w:r>
          </w:p>
        </w:tc>
        <w:tc>
          <w:tcPr>
            <w:tcW w:w="4820" w:type="dxa"/>
            <w:tcBorders>
              <w:top w:val="single" w:sz="4" w:space="0" w:color="FFFFFF"/>
              <w:left w:val="single" w:sz="4" w:space="0" w:color="FFFFFF"/>
              <w:bottom w:val="single" w:sz="4" w:space="0" w:color="FFFFFF"/>
              <w:right w:val="nil"/>
            </w:tcBorders>
            <w:shd w:val="clear" w:color="C0E6F5" w:fill="C0E6F5"/>
            <w:vAlign w:val="center"/>
            <w:hideMark/>
          </w:tcPr>
          <w:p w14:paraId="249882AE"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20%</w:t>
            </w:r>
          </w:p>
        </w:tc>
      </w:tr>
      <w:tr w:rsidR="00786C75" w:rsidRPr="00CB245E" w14:paraId="119C1C4B"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83CCEB" w:fill="83CCEB"/>
            <w:vAlign w:val="center"/>
            <w:hideMark/>
          </w:tcPr>
          <w:p w14:paraId="0FA06057"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Comprise entre 552 324 et 902 838 €</w:t>
            </w:r>
          </w:p>
        </w:tc>
        <w:tc>
          <w:tcPr>
            <w:tcW w:w="4820" w:type="dxa"/>
            <w:tcBorders>
              <w:top w:val="single" w:sz="4" w:space="0" w:color="FFFFFF"/>
              <w:left w:val="single" w:sz="4" w:space="0" w:color="FFFFFF"/>
              <w:bottom w:val="single" w:sz="4" w:space="0" w:color="FFFFFF"/>
              <w:right w:val="nil"/>
            </w:tcBorders>
            <w:shd w:val="clear" w:color="83CCEB" w:fill="83CCEB"/>
            <w:vAlign w:val="center"/>
            <w:hideMark/>
          </w:tcPr>
          <w:p w14:paraId="169C9F68"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30%</w:t>
            </w:r>
          </w:p>
        </w:tc>
      </w:tr>
      <w:tr w:rsidR="00786C75" w:rsidRPr="00CB245E" w14:paraId="0BFE1449" w14:textId="77777777" w:rsidTr="00786C75">
        <w:trPr>
          <w:trHeight w:val="510"/>
        </w:trPr>
        <w:tc>
          <w:tcPr>
            <w:tcW w:w="6380" w:type="dxa"/>
            <w:tcBorders>
              <w:top w:val="single" w:sz="4" w:space="0" w:color="FFFFFF"/>
              <w:left w:val="nil"/>
              <w:bottom w:val="single" w:sz="4" w:space="0" w:color="FFFFFF"/>
              <w:right w:val="single" w:sz="4" w:space="0" w:color="FFFFFF"/>
            </w:tcBorders>
            <w:shd w:val="clear" w:color="C0E6F5" w:fill="C0E6F5"/>
            <w:vAlign w:val="center"/>
            <w:hideMark/>
          </w:tcPr>
          <w:p w14:paraId="2CF635F9"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lastRenderedPageBreak/>
              <w:t>Comprise entre 902 838 et 1 805 677 €</w:t>
            </w:r>
          </w:p>
        </w:tc>
        <w:tc>
          <w:tcPr>
            <w:tcW w:w="4820" w:type="dxa"/>
            <w:tcBorders>
              <w:top w:val="single" w:sz="4" w:space="0" w:color="FFFFFF"/>
              <w:left w:val="single" w:sz="4" w:space="0" w:color="FFFFFF"/>
              <w:bottom w:val="single" w:sz="4" w:space="0" w:color="FFFFFF"/>
              <w:right w:val="nil"/>
            </w:tcBorders>
            <w:shd w:val="clear" w:color="C0E6F5" w:fill="C0E6F5"/>
            <w:vAlign w:val="center"/>
            <w:hideMark/>
          </w:tcPr>
          <w:p w14:paraId="7C816B4B"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40 %</w:t>
            </w:r>
          </w:p>
        </w:tc>
      </w:tr>
      <w:tr w:rsidR="00786C75" w:rsidRPr="00CB245E" w14:paraId="64354F86" w14:textId="77777777" w:rsidTr="00786C75">
        <w:trPr>
          <w:trHeight w:val="510"/>
        </w:trPr>
        <w:tc>
          <w:tcPr>
            <w:tcW w:w="6380" w:type="dxa"/>
            <w:tcBorders>
              <w:top w:val="single" w:sz="4" w:space="0" w:color="FFFFFF"/>
              <w:left w:val="nil"/>
              <w:bottom w:val="nil"/>
              <w:right w:val="single" w:sz="4" w:space="0" w:color="FFFFFF"/>
            </w:tcBorders>
            <w:shd w:val="clear" w:color="83CCEB" w:fill="83CCEB"/>
            <w:vAlign w:val="center"/>
            <w:hideMark/>
          </w:tcPr>
          <w:p w14:paraId="2D5CE7B2" w14:textId="77777777" w:rsidR="00786C75" w:rsidRPr="00CB245E" w:rsidRDefault="00786C75" w:rsidP="00786C75">
            <w:pPr>
              <w:spacing w:after="0" w:line="240" w:lineRule="auto"/>
              <w:ind w:firstLineChars="100" w:firstLine="280"/>
              <w:jc w:val="left"/>
              <w:rPr>
                <w:rFonts w:eastAsia="Times New Roman" w:cs="Open Sans"/>
                <w:color w:val="000000"/>
                <w:sz w:val="28"/>
                <w:szCs w:val="28"/>
              </w:rPr>
            </w:pPr>
            <w:r w:rsidRPr="00CB245E">
              <w:rPr>
                <w:rFonts w:eastAsia="Times New Roman" w:cs="Open Sans"/>
                <w:color w:val="000000"/>
                <w:sz w:val="28"/>
                <w:szCs w:val="28"/>
              </w:rPr>
              <w:t>Supérieure à 1 805 677 €</w:t>
            </w:r>
          </w:p>
        </w:tc>
        <w:tc>
          <w:tcPr>
            <w:tcW w:w="4820" w:type="dxa"/>
            <w:tcBorders>
              <w:top w:val="single" w:sz="4" w:space="0" w:color="FFFFFF"/>
              <w:left w:val="single" w:sz="4" w:space="0" w:color="FFFFFF"/>
              <w:bottom w:val="nil"/>
              <w:right w:val="nil"/>
            </w:tcBorders>
            <w:shd w:val="clear" w:color="83CCEB" w:fill="83CCEB"/>
            <w:vAlign w:val="center"/>
            <w:hideMark/>
          </w:tcPr>
          <w:p w14:paraId="603173D3" w14:textId="77777777" w:rsidR="00786C75" w:rsidRPr="00CB245E" w:rsidRDefault="00786C75" w:rsidP="00786C75">
            <w:pPr>
              <w:spacing w:after="0" w:line="240" w:lineRule="auto"/>
              <w:jc w:val="center"/>
              <w:rPr>
                <w:rFonts w:eastAsia="Times New Roman" w:cs="Open Sans"/>
                <w:color w:val="000000"/>
                <w:sz w:val="28"/>
                <w:szCs w:val="28"/>
              </w:rPr>
            </w:pPr>
            <w:r w:rsidRPr="00CB245E">
              <w:rPr>
                <w:rFonts w:eastAsia="Times New Roman" w:cs="Open Sans"/>
                <w:color w:val="000000"/>
                <w:sz w:val="28"/>
                <w:szCs w:val="28"/>
              </w:rPr>
              <w:t>45%</w:t>
            </w:r>
          </w:p>
        </w:tc>
      </w:tr>
    </w:tbl>
    <w:p w14:paraId="3DD267C6" w14:textId="77777777" w:rsidR="00FD40BE" w:rsidRPr="00CB245E" w:rsidRDefault="00FD40BE" w:rsidP="00CB245E">
      <w:pPr>
        <w:pStyle w:val="CGPC-elearning"/>
      </w:pPr>
    </w:p>
    <w:p w14:paraId="37186BDB" w14:textId="22571814" w:rsidR="00C9307D" w:rsidRPr="00CB245E" w:rsidRDefault="00C9307D" w:rsidP="00CB245E">
      <w:pPr>
        <w:pStyle w:val="CGPC-elearning"/>
      </w:pPr>
      <w:r w:rsidRPr="00CB245E">
        <w:t>Droits de succession (et de donation) applicables (après abattement) </w:t>
      </w:r>
      <w:r w:rsidRPr="00CB245E">
        <w:rPr>
          <w:b/>
        </w:rPr>
        <w:t>entre frères et sœurs</w:t>
      </w:r>
      <w:r w:rsidRPr="00CB245E">
        <w:t> (sauf cas d’exonération de droits de succession) en 202</w:t>
      </w:r>
      <w:r w:rsidR="0013660A" w:rsidRPr="00CB245E">
        <w:t>5</w:t>
      </w:r>
      <w:r w:rsidRPr="00CB245E">
        <w:t xml:space="preserve"> (sans revalorisation depuis 2012) :</w:t>
      </w:r>
    </w:p>
    <w:p w14:paraId="3EEE8621" w14:textId="77777777" w:rsidR="00C9307D" w:rsidRPr="00CB245E" w:rsidRDefault="00C9307D" w:rsidP="00CB245E">
      <w:pPr>
        <w:pStyle w:val="CGPC-elearning"/>
      </w:pPr>
      <w:r w:rsidRPr="00CB245E">
        <w:t> </w:t>
      </w:r>
    </w:p>
    <w:p w14:paraId="5F9C6419" w14:textId="77777777" w:rsidR="00C9307D" w:rsidRPr="00CB245E" w:rsidRDefault="00C9307D" w:rsidP="00CB245E">
      <w:pPr>
        <w:pStyle w:val="CGPC-elearning"/>
      </w:pPr>
      <w:r w:rsidRPr="00CB245E">
        <w:t> </w:t>
      </w:r>
    </w:p>
    <w:p w14:paraId="0DB8F132" w14:textId="77777777" w:rsidR="00C9307D" w:rsidRPr="00CB245E" w:rsidRDefault="00C9307D" w:rsidP="00CB245E">
      <w:pPr>
        <w:pStyle w:val="CGPC-elearning"/>
      </w:pPr>
      <w:r w:rsidRPr="00CB245E">
        <w:rPr>
          <w:noProof/>
        </w:rPr>
        <w:drawing>
          <wp:inline distT="0" distB="0" distL="0" distR="0" wp14:anchorId="74E945B7" wp14:editId="5CC3ECDC">
            <wp:extent cx="6352674" cy="3676228"/>
            <wp:effectExtent l="0" t="0" r="0" b="63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218" cy="3711264"/>
                    </a:xfrm>
                    <a:prstGeom prst="rect">
                      <a:avLst/>
                    </a:prstGeom>
                    <a:noFill/>
                    <a:ln>
                      <a:noFill/>
                    </a:ln>
                  </pic:spPr>
                </pic:pic>
              </a:graphicData>
            </a:graphic>
          </wp:inline>
        </w:drawing>
      </w:r>
    </w:p>
    <w:p w14:paraId="0B09C40A" w14:textId="0F54A4CF" w:rsidR="00C9307D" w:rsidRPr="00CB245E" w:rsidRDefault="00C9307D" w:rsidP="00CB245E">
      <w:pPr>
        <w:pStyle w:val="CGPC-elearning"/>
      </w:pPr>
      <w:r w:rsidRPr="00CB245E">
        <w:rPr>
          <w:b/>
          <w:u w:val="single"/>
        </w:rPr>
        <w:t>Attention :</w:t>
      </w:r>
      <w:r w:rsidRPr="00CB245E">
        <w:rPr>
          <w:b/>
        </w:rPr>
        <w:t> </w:t>
      </w:r>
      <w:r w:rsidRPr="00CB245E">
        <w:t>il existait auparavant une réduction de droits pour charges de famille. Celle-ci a été supprimée pour les donations et successions ouvertes après le 1</w:t>
      </w:r>
      <w:r w:rsidRPr="00CB245E">
        <w:rPr>
          <w:vertAlign w:val="superscript"/>
        </w:rPr>
        <w:t>er</w:t>
      </w:r>
      <w:r w:rsidRPr="00CB245E">
        <w:t> janvier 2017.</w:t>
      </w:r>
    </w:p>
    <w:p w14:paraId="10B261F1" w14:textId="5A29FFB5" w:rsidR="00C9307D" w:rsidRPr="00CB245E" w:rsidRDefault="008B0BC3" w:rsidP="00CB245E">
      <w:pPr>
        <w:pStyle w:val="Titre3"/>
      </w:pPr>
      <w:bookmarkStart w:id="14" w:name="_Toc230697792"/>
      <w:r w:rsidRPr="00CB245E">
        <w:t>Cas d’application</w:t>
      </w:r>
      <w:bookmarkEnd w:id="14"/>
    </w:p>
    <w:p w14:paraId="1ED20223" w14:textId="77777777" w:rsidR="008B0BC3" w:rsidRPr="00CB245E" w:rsidRDefault="008B0BC3" w:rsidP="00C9307D">
      <w:pPr>
        <w:spacing w:after="0" w:line="240" w:lineRule="auto"/>
        <w:textAlignment w:val="baseline"/>
        <w:rPr>
          <w:rFonts w:eastAsia="Times New Roman" w:cs="Open Sans"/>
          <w:color w:val="666666"/>
          <w:sz w:val="21"/>
          <w:szCs w:val="21"/>
          <w:lang w:eastAsia="fr-FR"/>
        </w:rPr>
      </w:pPr>
    </w:p>
    <w:p w14:paraId="266417C5" w14:textId="7BEBC42E" w:rsidR="00C9307D" w:rsidRPr="00CB245E" w:rsidRDefault="00C9307D" w:rsidP="00CB245E">
      <w:pPr>
        <w:pStyle w:val="CGPC-elearning"/>
      </w:pPr>
      <w:r w:rsidRPr="00CB245E">
        <w:t xml:space="preserve">Quels sont les droits à payer dans la succession </w:t>
      </w:r>
      <w:proofErr w:type="gramStart"/>
      <w:r w:rsidRPr="00CB245E">
        <w:t>suivante?</w:t>
      </w:r>
      <w:proofErr w:type="gramEnd"/>
    </w:p>
    <w:p w14:paraId="68F0A366" w14:textId="77777777" w:rsidR="00C9307D" w:rsidRPr="00CB245E" w:rsidRDefault="00C9307D" w:rsidP="00CB245E">
      <w:pPr>
        <w:pStyle w:val="CGPC-elearning"/>
      </w:pPr>
      <w:r w:rsidRPr="00CB245E">
        <w:lastRenderedPageBreak/>
        <w:t>Actif successoral </w:t>
      </w:r>
      <w:r w:rsidRPr="00CB245E">
        <w:rPr>
          <w:i/>
          <w:iCs/>
        </w:rPr>
        <w:t>= </w:t>
      </w:r>
      <w:r w:rsidRPr="00CB245E">
        <w:t>400 000 €</w:t>
      </w:r>
      <w:r w:rsidRPr="00CB245E">
        <w:rPr>
          <w:i/>
          <w:iCs/>
        </w:rPr>
        <w:t>.</w:t>
      </w:r>
    </w:p>
    <w:p w14:paraId="72B98127" w14:textId="77777777" w:rsidR="00C9307D" w:rsidRPr="00CB245E" w:rsidRDefault="00C9307D" w:rsidP="00CB245E">
      <w:pPr>
        <w:pStyle w:val="CGPC-elearning"/>
      </w:pPr>
      <w:r w:rsidRPr="00CB245E">
        <w:t>Héritiers : 2 fils, dont l’un est prédécédé mais avait 2 enfants.</w:t>
      </w:r>
    </w:p>
    <w:p w14:paraId="519CB419" w14:textId="77777777" w:rsidR="00C9307D" w:rsidRPr="00CB245E" w:rsidRDefault="00C9307D" w:rsidP="00CB245E">
      <w:pPr>
        <w:pStyle w:val="CGPC-elearning"/>
      </w:pPr>
      <w:r w:rsidRPr="00CB245E">
        <w:rPr>
          <w:b/>
        </w:rPr>
        <w:t>Parts nettes taxables des héritiers</w:t>
      </w:r>
      <w:r w:rsidRPr="00CB245E">
        <w:t> = 400 000 / 2 = 200 000 € sur laquelle s’imputent l’abattement personnel de 100 000 € :</w:t>
      </w:r>
    </w:p>
    <w:p w14:paraId="03B5F189" w14:textId="77777777" w:rsidR="00C9307D" w:rsidRPr="00CB245E" w:rsidRDefault="00C9307D" w:rsidP="00CB245E">
      <w:pPr>
        <w:pStyle w:val="CGPC-elearning"/>
      </w:pPr>
      <w:r w:rsidRPr="00CB245E">
        <w:t>200 000 – 100 000 = 100 000 € au 1</w:t>
      </w:r>
      <w:r w:rsidRPr="00CB245E">
        <w:rPr>
          <w:vertAlign w:val="superscript"/>
        </w:rPr>
        <w:t>er</w:t>
      </w:r>
      <w:r w:rsidRPr="00CB245E">
        <w:t> fils ;</w:t>
      </w:r>
    </w:p>
    <w:p w14:paraId="75FFCF10" w14:textId="77777777" w:rsidR="00C9307D" w:rsidRPr="00CB245E" w:rsidRDefault="00C9307D" w:rsidP="00CB245E">
      <w:pPr>
        <w:pStyle w:val="CGPC-elearning"/>
      </w:pPr>
      <w:r w:rsidRPr="00CB245E">
        <w:t>200 000 – 100 000 = 100 000 : 2 = 50 000 € par enfant du 2</w:t>
      </w:r>
      <w:r w:rsidRPr="00CB245E">
        <w:rPr>
          <w:vertAlign w:val="superscript"/>
        </w:rPr>
        <w:t>e</w:t>
      </w:r>
      <w:r w:rsidRPr="00CB245E">
        <w:t> fils prédécédé.</w:t>
      </w:r>
    </w:p>
    <w:p w14:paraId="71B77ECA" w14:textId="51729522" w:rsidR="00CA28D0" w:rsidRPr="00CB245E" w:rsidRDefault="00CA28D0">
      <w:pPr>
        <w:jc w:val="left"/>
        <w:rPr>
          <w:rFonts w:eastAsia="Times New Roman" w:cs="Open Sans"/>
          <w:b/>
          <w:bCs/>
          <w:color w:val="3A5D9C"/>
          <w:sz w:val="33"/>
          <w:szCs w:val="33"/>
          <w:u w:val="single"/>
          <w:lang w:eastAsia="fr-FR"/>
        </w:rPr>
      </w:pPr>
      <w:r w:rsidRPr="00CB245E">
        <w:rPr>
          <w:rFonts w:eastAsia="Times New Roman" w:cs="Open Sans"/>
          <w:b/>
          <w:bCs/>
          <w:color w:val="3A5D9C"/>
          <w:sz w:val="33"/>
          <w:szCs w:val="33"/>
          <w:u w:val="single"/>
          <w:lang w:eastAsia="fr-FR"/>
        </w:rPr>
        <w:br w:type="page"/>
      </w:r>
    </w:p>
    <w:p w14:paraId="2787ED77" w14:textId="77777777" w:rsidR="00C9307D" w:rsidRPr="00CB245E" w:rsidRDefault="00C9307D" w:rsidP="00CB245E">
      <w:pPr>
        <w:pStyle w:val="Titre2"/>
      </w:pPr>
      <w:bookmarkStart w:id="15" w:name="_Toc230697793"/>
      <w:r w:rsidRPr="00CB245E">
        <w:lastRenderedPageBreak/>
        <w:t>Application du barème</w:t>
      </w:r>
      <w:bookmarkEnd w:id="15"/>
    </w:p>
    <w:p w14:paraId="24ADBF3B" w14:textId="77777777" w:rsidR="00C9307D" w:rsidRPr="00CB245E" w:rsidRDefault="00C9307D" w:rsidP="00C9307D">
      <w:pPr>
        <w:spacing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388DFB79" w14:textId="77777777" w:rsidR="00C9307D" w:rsidRPr="00CB245E" w:rsidRDefault="00C9307D" w:rsidP="002A4C01">
      <w:pPr>
        <w:spacing w:line="0" w:lineRule="auto"/>
        <w:jc w:val="center"/>
        <w:textAlignment w:val="baseline"/>
        <w:rPr>
          <w:rFonts w:eastAsia="Times New Roman" w:cs="Open Sans"/>
          <w:color w:val="666666"/>
          <w:sz w:val="21"/>
          <w:szCs w:val="21"/>
          <w:lang w:eastAsia="fr-FR"/>
        </w:rPr>
      </w:pPr>
      <w:r w:rsidRPr="00CB245E">
        <w:rPr>
          <w:rFonts w:eastAsia="Times New Roman" w:cs="Open Sans"/>
          <w:noProof/>
          <w:color w:val="666666"/>
          <w:sz w:val="21"/>
          <w:szCs w:val="21"/>
          <w:bdr w:val="none" w:sz="0" w:space="0" w:color="auto" w:frame="1"/>
          <w:lang w:eastAsia="fr-FR"/>
        </w:rPr>
        <w:drawing>
          <wp:inline distT="0" distB="0" distL="0" distR="0" wp14:anchorId="30FEBE67" wp14:editId="3B462197">
            <wp:extent cx="6665495" cy="7372293"/>
            <wp:effectExtent l="0" t="0" r="2540" b="635"/>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0184" cy="7432782"/>
                    </a:xfrm>
                    <a:prstGeom prst="rect">
                      <a:avLst/>
                    </a:prstGeom>
                    <a:noFill/>
                    <a:ln>
                      <a:noFill/>
                    </a:ln>
                  </pic:spPr>
                </pic:pic>
              </a:graphicData>
            </a:graphic>
          </wp:inline>
        </w:drawing>
      </w:r>
    </w:p>
    <w:bookmarkStart w:id="16" w:name="_Toc230697794"/>
    <w:p w14:paraId="39F51DE9" w14:textId="67883ADD" w:rsidR="00C9307D" w:rsidRPr="00CB245E" w:rsidRDefault="00A64814" w:rsidP="00CA28D0">
      <w:pPr>
        <w:spacing w:before="300" w:after="300" w:line="675" w:lineRule="atLeast"/>
        <w:textAlignment w:val="baseline"/>
        <w:outlineLvl w:val="2"/>
        <w:rPr>
          <w:rFonts w:eastAsia="Times New Roman" w:cs="Open Sans"/>
          <w:b/>
          <w:bCs/>
          <w:caps/>
          <w:color w:val="3A5D9C"/>
          <w:sz w:val="36"/>
          <w:szCs w:val="36"/>
          <w:u w:val="single"/>
          <w:lang w:eastAsia="fr-FR"/>
        </w:rPr>
      </w:pPr>
      <w:r w:rsidRPr="00CB245E">
        <w:rPr>
          <w:noProof/>
          <w:sz w:val="52"/>
          <w:szCs w:val="52"/>
          <w14:ligatures w14:val="standardContextual"/>
        </w:rPr>
        <w:lastRenderedPageBreak/>
        <mc:AlternateContent>
          <mc:Choice Requires="wps">
            <w:drawing>
              <wp:anchor distT="0" distB="0" distL="114300" distR="114300" simplePos="0" relativeHeight="251670528" behindDoc="1" locked="0" layoutInCell="1" allowOverlap="1" wp14:anchorId="7ED3106A" wp14:editId="0B8DA21D">
                <wp:simplePos x="0" y="0"/>
                <wp:positionH relativeFrom="column">
                  <wp:posOffset>-900752</wp:posOffset>
                </wp:positionH>
                <wp:positionV relativeFrom="paragraph">
                  <wp:posOffset>-218126</wp:posOffset>
                </wp:positionV>
                <wp:extent cx="15582900" cy="8679976"/>
                <wp:effectExtent l="0" t="0" r="19050" b="26035"/>
                <wp:wrapNone/>
                <wp:docPr id="2087868378" name="Rectangle 9"/>
                <wp:cNvGraphicFramePr/>
                <a:graphic xmlns:a="http://schemas.openxmlformats.org/drawingml/2006/main">
                  <a:graphicData uri="http://schemas.microsoft.com/office/word/2010/wordprocessingShape">
                    <wps:wsp>
                      <wps:cNvSpPr/>
                      <wps:spPr>
                        <a:xfrm>
                          <a:off x="0" y="0"/>
                          <a:ext cx="15582900" cy="867997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0F002" id="Rectangle 9" o:spid="_x0000_s1026" style="position:absolute;margin-left:-70.95pt;margin-top:-17.2pt;width:1227pt;height:683.4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" fillcolor="#4472c4 [3204]" strokecolor="#09101d [484]" strokeweight="1pt"/>
            </w:pict>
          </mc:Fallback>
        </mc:AlternateContent>
      </w:r>
      <w:bookmarkEnd w:id="16"/>
    </w:p>
    <w:p w14:paraId="5DCB67DB" w14:textId="6C8FE670" w:rsidR="00CB29B6" w:rsidRPr="00CB245E" w:rsidRDefault="00CB29B6" w:rsidP="00CB29B6">
      <w:pPr>
        <w:rPr>
          <w:sz w:val="52"/>
          <w:szCs w:val="52"/>
        </w:rPr>
      </w:pPr>
    </w:p>
    <w:p w14:paraId="6E85CE2D" w14:textId="77777777" w:rsidR="00CB29B6" w:rsidRPr="00CB245E" w:rsidRDefault="00CB29B6" w:rsidP="00CB29B6">
      <w:pPr>
        <w:rPr>
          <w:sz w:val="52"/>
          <w:szCs w:val="52"/>
        </w:rPr>
      </w:pPr>
    </w:p>
    <w:p w14:paraId="1F9E6E74" w14:textId="77777777" w:rsidR="00CB29B6" w:rsidRPr="00CB245E" w:rsidRDefault="00CB29B6" w:rsidP="00CB29B6">
      <w:pPr>
        <w:rPr>
          <w:sz w:val="52"/>
          <w:szCs w:val="52"/>
        </w:rPr>
      </w:pPr>
    </w:p>
    <w:p w14:paraId="6FE9FD11" w14:textId="77777777" w:rsidR="00CB29B6" w:rsidRPr="00CB245E" w:rsidRDefault="00CB29B6" w:rsidP="00CB29B6">
      <w:pPr>
        <w:rPr>
          <w:sz w:val="52"/>
          <w:szCs w:val="52"/>
        </w:rPr>
      </w:pPr>
    </w:p>
    <w:p w14:paraId="1FBF1F5A" w14:textId="77777777" w:rsidR="00CB29B6" w:rsidRPr="00CB245E" w:rsidRDefault="00CB29B6" w:rsidP="00CB29B6">
      <w:pPr>
        <w:rPr>
          <w:sz w:val="52"/>
          <w:szCs w:val="52"/>
        </w:rPr>
      </w:pPr>
    </w:p>
    <w:p w14:paraId="0B893C07" w14:textId="7E9E736D" w:rsidR="00C31677" w:rsidRPr="00CB245E" w:rsidRDefault="008B0BC3" w:rsidP="00051ECB">
      <w:pPr>
        <w:pStyle w:val="Titre1"/>
      </w:pPr>
      <w:bookmarkStart w:id="17" w:name="_Toc230697795"/>
      <w:r w:rsidRPr="00CB245E">
        <w:t>Évaluation et taxation d’un bien démembré</w:t>
      </w:r>
      <w:bookmarkEnd w:id="17"/>
    </w:p>
    <w:p w14:paraId="11463DE4" w14:textId="77777777" w:rsidR="00C31677" w:rsidRPr="00CB245E" w:rsidRDefault="00C31677" w:rsidP="00CB245E">
      <w:pPr>
        <w:pStyle w:val="CGPC-elearning"/>
        <w:rPr>
          <w:color w:val="3A5D9C"/>
          <w:sz w:val="44"/>
          <w:szCs w:val="26"/>
        </w:rPr>
      </w:pPr>
      <w:r w:rsidRPr="00CB245E">
        <w:br w:type="page"/>
      </w:r>
    </w:p>
    <w:p w14:paraId="4EB56FF5" w14:textId="77777777" w:rsidR="00C9307D" w:rsidRPr="00CB245E" w:rsidRDefault="00C9307D" w:rsidP="00CB245E">
      <w:pPr>
        <w:pStyle w:val="CGPC-elearning"/>
      </w:pPr>
      <w:r w:rsidRPr="00CB245E">
        <w:lastRenderedPageBreak/>
        <w:t>Un bien peut être transmis en pleine propriété, mais la propriété peut aussi être démembrée.</w:t>
      </w:r>
    </w:p>
    <w:p w14:paraId="2194DB9B" w14:textId="77777777" w:rsidR="00C9307D" w:rsidRPr="00CB245E" w:rsidRDefault="00C9307D" w:rsidP="00CB245E">
      <w:pPr>
        <w:pStyle w:val="CGPC-elearning"/>
      </w:pPr>
      <w:r w:rsidRPr="00CB245E">
        <w:t>Dans certains cas (par exemple lorsqu’un conjoint vient à la succession en concurrence avec les enfants issus de son mariage avec le défunt), les biens peuvent faire l’objet d’un démembrement du droit de propriété entre l’usufruit et la nue-propriété.</w:t>
      </w:r>
    </w:p>
    <w:p w14:paraId="66B980D4" w14:textId="77777777" w:rsidR="00C9307D" w:rsidRPr="00CB245E" w:rsidRDefault="00C9307D" w:rsidP="00CB245E">
      <w:pPr>
        <w:pStyle w:val="CGPC-elearning"/>
      </w:pPr>
      <w:r w:rsidRPr="00CB245E">
        <w:t>L’usufruitier à le droit de jouir du bien, c’est à dire d’en user et d’en percevoir les revenus alors que le nu-propriétaire n’a que le droit d’en disposer en respectant les droits de l’usufruitier.</w:t>
      </w:r>
    </w:p>
    <w:p w14:paraId="759035B4" w14:textId="77777777" w:rsidR="00C9307D" w:rsidRPr="00CB245E" w:rsidRDefault="00C9307D" w:rsidP="00CB245E">
      <w:pPr>
        <w:pStyle w:val="CGPC-elearning"/>
      </w:pPr>
      <w:r w:rsidRPr="00CB245E">
        <w:rPr>
          <w:b/>
        </w:rPr>
        <w:t>Exemple</w:t>
      </w:r>
      <w:r w:rsidRPr="00CB245E">
        <w:t> : le conjoint survivant opte pour la totalité du patrimoine en usufruit ; les enfants se partagent à parts égales la nue-propriété.</w:t>
      </w:r>
    </w:p>
    <w:p w14:paraId="386941C9" w14:textId="6B9564B2" w:rsidR="00C9307D" w:rsidRPr="00CB245E" w:rsidRDefault="00C9307D" w:rsidP="00D2768F"/>
    <w:p w14:paraId="390D9E8D" w14:textId="6EC79BCA" w:rsidR="00C9307D" w:rsidRPr="00CB245E" w:rsidRDefault="008B0BC3" w:rsidP="00CB245E">
      <w:pPr>
        <w:pStyle w:val="Titre2"/>
        <w:numPr>
          <w:ilvl w:val="0"/>
          <w:numId w:val="13"/>
        </w:numPr>
      </w:pPr>
      <w:bookmarkStart w:id="18" w:name="_Toc230697796"/>
      <w:r w:rsidRPr="00CB245E">
        <w:t>Estimation de la valeur des biens en usufruit et nue-propriété</w:t>
      </w:r>
      <w:bookmarkEnd w:id="18"/>
    </w:p>
    <w:p w14:paraId="5ED1A33F" w14:textId="77777777" w:rsidR="008B0BC3" w:rsidRPr="00CB245E" w:rsidRDefault="008B0BC3" w:rsidP="00C9307D">
      <w:pPr>
        <w:spacing w:after="0" w:line="240" w:lineRule="auto"/>
        <w:textAlignment w:val="baseline"/>
        <w:rPr>
          <w:rFonts w:eastAsia="Times New Roman" w:cs="Open Sans"/>
          <w:color w:val="666666"/>
          <w:sz w:val="21"/>
          <w:szCs w:val="21"/>
          <w:lang w:eastAsia="fr-FR"/>
        </w:rPr>
      </w:pPr>
    </w:p>
    <w:p w14:paraId="5A885B97" w14:textId="7AB076FC" w:rsidR="00C9307D" w:rsidRPr="00CB245E" w:rsidRDefault="00C9307D" w:rsidP="00CB245E">
      <w:pPr>
        <w:pStyle w:val="CGPC-elearning"/>
      </w:pPr>
      <w:r w:rsidRPr="00CB245E">
        <w:t>La valeur des biens en usufruit et nue-propriété est évaluée forfaitairement à une fraction de la valeur de la pleine propriété, selon l’âge de l’usufruitier au jour de la succession.</w:t>
      </w:r>
    </w:p>
    <w:p w14:paraId="3C2E9DED" w14:textId="77777777" w:rsidR="00C9307D" w:rsidRPr="00CB245E" w:rsidRDefault="00C9307D" w:rsidP="00CB245E">
      <w:pPr>
        <w:pStyle w:val="CGPC-elearning"/>
      </w:pPr>
      <w:r w:rsidRPr="00CB245E">
        <w:t>Barème d’évaluation des droits</w:t>
      </w:r>
    </w:p>
    <w:tbl>
      <w:tblPr>
        <w:tblW w:w="7060" w:type="dxa"/>
        <w:tblLook w:val="04A0" w:firstRow="1" w:lastRow="0" w:firstColumn="1" w:lastColumn="0" w:noHBand="0" w:noVBand="1"/>
      </w:tblPr>
      <w:tblGrid>
        <w:gridCol w:w="2660"/>
        <w:gridCol w:w="1860"/>
        <w:gridCol w:w="2540"/>
      </w:tblGrid>
      <w:tr w:rsidR="002E1BD3" w:rsidRPr="00CB245E" w14:paraId="66AA04E2" w14:textId="77777777" w:rsidTr="002E1BD3">
        <w:trPr>
          <w:trHeight w:val="930"/>
        </w:trPr>
        <w:tc>
          <w:tcPr>
            <w:tcW w:w="2660" w:type="dxa"/>
            <w:tcBorders>
              <w:top w:val="single" w:sz="8" w:space="0" w:color="EEEEEE"/>
              <w:left w:val="single" w:sz="8" w:space="0" w:color="EEEEEE"/>
              <w:bottom w:val="single" w:sz="12" w:space="0" w:color="FFFFFF"/>
              <w:right w:val="single" w:sz="4" w:space="0" w:color="FFFFFF"/>
            </w:tcBorders>
            <w:shd w:val="clear" w:color="156082" w:fill="156082"/>
            <w:vAlign w:val="center"/>
            <w:hideMark/>
          </w:tcPr>
          <w:p w14:paraId="410960E2" w14:textId="77777777" w:rsidR="002E1BD3" w:rsidRPr="00CB245E" w:rsidRDefault="002E1BD3" w:rsidP="002E1BD3">
            <w:pPr>
              <w:spacing w:after="0" w:line="240" w:lineRule="auto"/>
              <w:jc w:val="center"/>
              <w:rPr>
                <w:rFonts w:eastAsia="Times New Roman" w:cs="Open Sans"/>
                <w:b/>
                <w:bCs/>
                <w:color w:val="FFFFFF"/>
                <w:szCs w:val="24"/>
              </w:rPr>
            </w:pPr>
            <w:r w:rsidRPr="00CB245E">
              <w:rPr>
                <w:rFonts w:eastAsia="Times New Roman" w:cs="Open Sans"/>
                <w:b/>
                <w:bCs/>
                <w:color w:val="FFFFFF"/>
                <w:szCs w:val="24"/>
              </w:rPr>
              <w:t>Âge</w:t>
            </w:r>
          </w:p>
        </w:tc>
        <w:tc>
          <w:tcPr>
            <w:tcW w:w="1860" w:type="dxa"/>
            <w:tcBorders>
              <w:top w:val="single" w:sz="8" w:space="0" w:color="EEEEEE"/>
              <w:left w:val="single" w:sz="4" w:space="0" w:color="FFFFFF"/>
              <w:bottom w:val="single" w:sz="12" w:space="0" w:color="FFFFFF"/>
              <w:right w:val="single" w:sz="4" w:space="0" w:color="FFFFFF"/>
            </w:tcBorders>
            <w:shd w:val="clear" w:color="156082" w:fill="156082"/>
            <w:vAlign w:val="center"/>
            <w:hideMark/>
          </w:tcPr>
          <w:p w14:paraId="1FD6A67B" w14:textId="77777777" w:rsidR="002E1BD3" w:rsidRPr="00CB245E" w:rsidRDefault="002E1BD3" w:rsidP="002E1BD3">
            <w:pPr>
              <w:spacing w:after="0" w:line="240" w:lineRule="auto"/>
              <w:jc w:val="center"/>
              <w:rPr>
                <w:rFonts w:eastAsia="Times New Roman" w:cs="Open Sans"/>
                <w:b/>
                <w:bCs/>
                <w:color w:val="FFFFFF"/>
                <w:szCs w:val="24"/>
              </w:rPr>
            </w:pPr>
            <w:r w:rsidRPr="00CB245E">
              <w:rPr>
                <w:rFonts w:eastAsia="Times New Roman" w:cs="Open Sans"/>
                <w:b/>
                <w:bCs/>
                <w:color w:val="FFFFFF"/>
                <w:szCs w:val="24"/>
              </w:rPr>
              <w:t>Valeur</w:t>
            </w:r>
          </w:p>
        </w:tc>
        <w:tc>
          <w:tcPr>
            <w:tcW w:w="2540" w:type="dxa"/>
            <w:tcBorders>
              <w:top w:val="single" w:sz="8" w:space="0" w:color="EEEEEE"/>
              <w:left w:val="single" w:sz="4" w:space="0" w:color="FFFFFF"/>
              <w:bottom w:val="single" w:sz="12" w:space="0" w:color="FFFFFF"/>
              <w:right w:val="nil"/>
            </w:tcBorders>
            <w:shd w:val="clear" w:color="156082" w:fill="156082"/>
            <w:vAlign w:val="center"/>
            <w:hideMark/>
          </w:tcPr>
          <w:p w14:paraId="08BD7123" w14:textId="77777777" w:rsidR="002E1BD3" w:rsidRPr="00CB245E" w:rsidRDefault="002E1BD3" w:rsidP="002E1BD3">
            <w:pPr>
              <w:spacing w:after="0" w:line="240" w:lineRule="auto"/>
              <w:jc w:val="center"/>
              <w:rPr>
                <w:rFonts w:eastAsia="Times New Roman" w:cs="Open Sans"/>
                <w:b/>
                <w:bCs/>
                <w:color w:val="FFFFFF"/>
                <w:szCs w:val="24"/>
              </w:rPr>
            </w:pPr>
            <w:r w:rsidRPr="00CB245E">
              <w:rPr>
                <w:rFonts w:eastAsia="Times New Roman" w:cs="Open Sans"/>
                <w:b/>
                <w:bCs/>
                <w:color w:val="FFFFFF"/>
                <w:szCs w:val="24"/>
              </w:rPr>
              <w:t>Valeur2</w:t>
            </w:r>
          </w:p>
        </w:tc>
      </w:tr>
      <w:tr w:rsidR="002E1BD3" w:rsidRPr="00CB245E" w14:paraId="652A4CBE"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83CCEB" w:fill="83CCEB"/>
            <w:vAlign w:val="center"/>
            <w:hideMark/>
          </w:tcPr>
          <w:p w14:paraId="238A42A5"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l’usufruitier</w:t>
            </w:r>
          </w:p>
        </w:tc>
        <w:tc>
          <w:tcPr>
            <w:tcW w:w="1860" w:type="dxa"/>
            <w:tcBorders>
              <w:top w:val="single" w:sz="4" w:space="0" w:color="FFFFFF"/>
              <w:left w:val="single" w:sz="4" w:space="0" w:color="FFFFFF"/>
              <w:bottom w:val="single" w:sz="4" w:space="0" w:color="FFFFFF"/>
              <w:right w:val="single" w:sz="4" w:space="0" w:color="FFFFFF"/>
            </w:tcBorders>
            <w:shd w:val="clear" w:color="83CCEB" w:fill="83CCEB"/>
            <w:vAlign w:val="center"/>
            <w:hideMark/>
          </w:tcPr>
          <w:p w14:paraId="0A2B870A"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l’usufruit</w:t>
            </w:r>
          </w:p>
        </w:tc>
        <w:tc>
          <w:tcPr>
            <w:tcW w:w="2540" w:type="dxa"/>
            <w:tcBorders>
              <w:top w:val="single" w:sz="4" w:space="0" w:color="FFFFFF"/>
              <w:left w:val="single" w:sz="4" w:space="0" w:color="FFFFFF"/>
              <w:bottom w:val="single" w:sz="4" w:space="0" w:color="FFFFFF"/>
              <w:right w:val="nil"/>
            </w:tcBorders>
            <w:shd w:val="clear" w:color="83CCEB" w:fill="83CCEB"/>
            <w:vAlign w:val="center"/>
            <w:hideMark/>
          </w:tcPr>
          <w:p w14:paraId="42E84EF8"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la nue-propriété</w:t>
            </w:r>
          </w:p>
        </w:tc>
      </w:tr>
      <w:tr w:rsidR="002E1BD3" w:rsidRPr="00CB245E" w14:paraId="50E2D2E0"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C0E6F5" w:fill="C0E6F5"/>
            <w:vAlign w:val="center"/>
            <w:hideMark/>
          </w:tcPr>
          <w:p w14:paraId="22CF0E42"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jusqu’à 20 ans</w:t>
            </w:r>
          </w:p>
        </w:tc>
        <w:tc>
          <w:tcPr>
            <w:tcW w:w="1860" w:type="dxa"/>
            <w:tcBorders>
              <w:top w:val="single" w:sz="4" w:space="0" w:color="FFFFFF"/>
              <w:left w:val="single" w:sz="4" w:space="0" w:color="FFFFFF"/>
              <w:bottom w:val="single" w:sz="4" w:space="0" w:color="FFFFFF"/>
              <w:right w:val="single" w:sz="4" w:space="0" w:color="FFFFFF"/>
            </w:tcBorders>
            <w:shd w:val="clear" w:color="C0E6F5" w:fill="C0E6F5"/>
            <w:vAlign w:val="center"/>
            <w:hideMark/>
          </w:tcPr>
          <w:p w14:paraId="7C62CFC4"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90%</w:t>
            </w:r>
          </w:p>
        </w:tc>
        <w:tc>
          <w:tcPr>
            <w:tcW w:w="2540" w:type="dxa"/>
            <w:tcBorders>
              <w:top w:val="single" w:sz="4" w:space="0" w:color="FFFFFF"/>
              <w:left w:val="single" w:sz="4" w:space="0" w:color="FFFFFF"/>
              <w:bottom w:val="single" w:sz="4" w:space="0" w:color="FFFFFF"/>
              <w:right w:val="nil"/>
            </w:tcBorders>
            <w:shd w:val="clear" w:color="C0E6F5" w:fill="C0E6F5"/>
            <w:vAlign w:val="center"/>
            <w:hideMark/>
          </w:tcPr>
          <w:p w14:paraId="75C99194"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10%</w:t>
            </w:r>
          </w:p>
        </w:tc>
      </w:tr>
      <w:tr w:rsidR="002E1BD3" w:rsidRPr="00CB245E" w14:paraId="42144F85"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83CCEB" w:fill="83CCEB"/>
            <w:vAlign w:val="center"/>
            <w:hideMark/>
          </w:tcPr>
          <w:p w14:paraId="28C0BBCF"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21 à 30 ans</w:t>
            </w:r>
          </w:p>
        </w:tc>
        <w:tc>
          <w:tcPr>
            <w:tcW w:w="1860" w:type="dxa"/>
            <w:tcBorders>
              <w:top w:val="single" w:sz="4" w:space="0" w:color="FFFFFF"/>
              <w:left w:val="single" w:sz="4" w:space="0" w:color="FFFFFF"/>
              <w:bottom w:val="single" w:sz="4" w:space="0" w:color="FFFFFF"/>
              <w:right w:val="single" w:sz="4" w:space="0" w:color="FFFFFF"/>
            </w:tcBorders>
            <w:shd w:val="clear" w:color="83CCEB" w:fill="83CCEB"/>
            <w:vAlign w:val="center"/>
            <w:hideMark/>
          </w:tcPr>
          <w:p w14:paraId="04F1C547"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80%</w:t>
            </w:r>
          </w:p>
        </w:tc>
        <w:tc>
          <w:tcPr>
            <w:tcW w:w="2540" w:type="dxa"/>
            <w:tcBorders>
              <w:top w:val="single" w:sz="4" w:space="0" w:color="FFFFFF"/>
              <w:left w:val="single" w:sz="4" w:space="0" w:color="FFFFFF"/>
              <w:bottom w:val="single" w:sz="4" w:space="0" w:color="FFFFFF"/>
              <w:right w:val="nil"/>
            </w:tcBorders>
            <w:shd w:val="clear" w:color="83CCEB" w:fill="83CCEB"/>
            <w:vAlign w:val="center"/>
            <w:hideMark/>
          </w:tcPr>
          <w:p w14:paraId="4A29D66F"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20%</w:t>
            </w:r>
          </w:p>
        </w:tc>
      </w:tr>
      <w:tr w:rsidR="002E1BD3" w:rsidRPr="00CB245E" w14:paraId="618E7526"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C0E6F5" w:fill="C0E6F5"/>
            <w:vAlign w:val="center"/>
            <w:hideMark/>
          </w:tcPr>
          <w:p w14:paraId="203B6A13"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31 à 40 ans</w:t>
            </w:r>
          </w:p>
        </w:tc>
        <w:tc>
          <w:tcPr>
            <w:tcW w:w="1860" w:type="dxa"/>
            <w:tcBorders>
              <w:top w:val="single" w:sz="4" w:space="0" w:color="FFFFFF"/>
              <w:left w:val="single" w:sz="4" w:space="0" w:color="FFFFFF"/>
              <w:bottom w:val="single" w:sz="4" w:space="0" w:color="FFFFFF"/>
              <w:right w:val="single" w:sz="4" w:space="0" w:color="FFFFFF"/>
            </w:tcBorders>
            <w:shd w:val="clear" w:color="C0E6F5" w:fill="C0E6F5"/>
            <w:vAlign w:val="center"/>
            <w:hideMark/>
          </w:tcPr>
          <w:p w14:paraId="22611CB1"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70%</w:t>
            </w:r>
          </w:p>
        </w:tc>
        <w:tc>
          <w:tcPr>
            <w:tcW w:w="2540" w:type="dxa"/>
            <w:tcBorders>
              <w:top w:val="single" w:sz="4" w:space="0" w:color="FFFFFF"/>
              <w:left w:val="single" w:sz="4" w:space="0" w:color="FFFFFF"/>
              <w:bottom w:val="single" w:sz="4" w:space="0" w:color="FFFFFF"/>
              <w:right w:val="nil"/>
            </w:tcBorders>
            <w:shd w:val="clear" w:color="C0E6F5" w:fill="C0E6F5"/>
            <w:vAlign w:val="center"/>
            <w:hideMark/>
          </w:tcPr>
          <w:p w14:paraId="02967837"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30%</w:t>
            </w:r>
          </w:p>
        </w:tc>
      </w:tr>
      <w:tr w:rsidR="002E1BD3" w:rsidRPr="00CB245E" w14:paraId="3A4D99A7"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83CCEB" w:fill="83CCEB"/>
            <w:vAlign w:val="center"/>
            <w:hideMark/>
          </w:tcPr>
          <w:p w14:paraId="3131223A"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41 à 50 ans</w:t>
            </w:r>
          </w:p>
        </w:tc>
        <w:tc>
          <w:tcPr>
            <w:tcW w:w="1860" w:type="dxa"/>
            <w:tcBorders>
              <w:top w:val="single" w:sz="4" w:space="0" w:color="FFFFFF"/>
              <w:left w:val="single" w:sz="4" w:space="0" w:color="FFFFFF"/>
              <w:bottom w:val="single" w:sz="4" w:space="0" w:color="FFFFFF"/>
              <w:right w:val="single" w:sz="4" w:space="0" w:color="FFFFFF"/>
            </w:tcBorders>
            <w:shd w:val="clear" w:color="83CCEB" w:fill="83CCEB"/>
            <w:vAlign w:val="center"/>
            <w:hideMark/>
          </w:tcPr>
          <w:p w14:paraId="44FAD95F"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60%</w:t>
            </w:r>
          </w:p>
        </w:tc>
        <w:tc>
          <w:tcPr>
            <w:tcW w:w="2540" w:type="dxa"/>
            <w:tcBorders>
              <w:top w:val="single" w:sz="4" w:space="0" w:color="FFFFFF"/>
              <w:left w:val="single" w:sz="4" w:space="0" w:color="FFFFFF"/>
              <w:bottom w:val="single" w:sz="4" w:space="0" w:color="FFFFFF"/>
              <w:right w:val="nil"/>
            </w:tcBorders>
            <w:shd w:val="clear" w:color="83CCEB" w:fill="83CCEB"/>
            <w:vAlign w:val="center"/>
            <w:hideMark/>
          </w:tcPr>
          <w:p w14:paraId="6671E43B"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40%</w:t>
            </w:r>
          </w:p>
        </w:tc>
      </w:tr>
      <w:tr w:rsidR="002E1BD3" w:rsidRPr="00CB245E" w14:paraId="50E21B36"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C0E6F5" w:fill="C0E6F5"/>
            <w:vAlign w:val="center"/>
            <w:hideMark/>
          </w:tcPr>
          <w:p w14:paraId="4E0C7CED"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51 à 60 ans</w:t>
            </w:r>
          </w:p>
        </w:tc>
        <w:tc>
          <w:tcPr>
            <w:tcW w:w="1860" w:type="dxa"/>
            <w:tcBorders>
              <w:top w:val="single" w:sz="4" w:space="0" w:color="FFFFFF"/>
              <w:left w:val="single" w:sz="4" w:space="0" w:color="FFFFFF"/>
              <w:bottom w:val="single" w:sz="4" w:space="0" w:color="FFFFFF"/>
              <w:right w:val="single" w:sz="4" w:space="0" w:color="FFFFFF"/>
            </w:tcBorders>
            <w:shd w:val="clear" w:color="C0E6F5" w:fill="C0E6F5"/>
            <w:vAlign w:val="center"/>
            <w:hideMark/>
          </w:tcPr>
          <w:p w14:paraId="50216118"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50%</w:t>
            </w:r>
          </w:p>
        </w:tc>
        <w:tc>
          <w:tcPr>
            <w:tcW w:w="2540" w:type="dxa"/>
            <w:tcBorders>
              <w:top w:val="single" w:sz="4" w:space="0" w:color="FFFFFF"/>
              <w:left w:val="single" w:sz="4" w:space="0" w:color="FFFFFF"/>
              <w:bottom w:val="single" w:sz="4" w:space="0" w:color="FFFFFF"/>
              <w:right w:val="nil"/>
            </w:tcBorders>
            <w:shd w:val="clear" w:color="C0E6F5" w:fill="C0E6F5"/>
            <w:vAlign w:val="center"/>
            <w:hideMark/>
          </w:tcPr>
          <w:p w14:paraId="2B96BD1F"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50%</w:t>
            </w:r>
          </w:p>
        </w:tc>
      </w:tr>
      <w:tr w:rsidR="002E1BD3" w:rsidRPr="00CB245E" w14:paraId="3348CE75"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83CCEB" w:fill="83CCEB"/>
            <w:vAlign w:val="center"/>
            <w:hideMark/>
          </w:tcPr>
          <w:p w14:paraId="0D3AD55D"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lastRenderedPageBreak/>
              <w:t>de 61 à 70 ans</w:t>
            </w:r>
          </w:p>
        </w:tc>
        <w:tc>
          <w:tcPr>
            <w:tcW w:w="1860" w:type="dxa"/>
            <w:tcBorders>
              <w:top w:val="single" w:sz="4" w:space="0" w:color="FFFFFF"/>
              <w:left w:val="single" w:sz="4" w:space="0" w:color="FFFFFF"/>
              <w:bottom w:val="single" w:sz="4" w:space="0" w:color="FFFFFF"/>
              <w:right w:val="single" w:sz="4" w:space="0" w:color="FFFFFF"/>
            </w:tcBorders>
            <w:shd w:val="clear" w:color="83CCEB" w:fill="83CCEB"/>
            <w:vAlign w:val="center"/>
            <w:hideMark/>
          </w:tcPr>
          <w:p w14:paraId="25181619"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40%</w:t>
            </w:r>
          </w:p>
        </w:tc>
        <w:tc>
          <w:tcPr>
            <w:tcW w:w="2540" w:type="dxa"/>
            <w:tcBorders>
              <w:top w:val="single" w:sz="4" w:space="0" w:color="FFFFFF"/>
              <w:left w:val="single" w:sz="4" w:space="0" w:color="FFFFFF"/>
              <w:bottom w:val="single" w:sz="4" w:space="0" w:color="FFFFFF"/>
              <w:right w:val="nil"/>
            </w:tcBorders>
            <w:shd w:val="clear" w:color="83CCEB" w:fill="83CCEB"/>
            <w:vAlign w:val="center"/>
            <w:hideMark/>
          </w:tcPr>
          <w:p w14:paraId="2814713C"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60%</w:t>
            </w:r>
          </w:p>
        </w:tc>
      </w:tr>
      <w:tr w:rsidR="002E1BD3" w:rsidRPr="00CB245E" w14:paraId="56BB878C"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C0E6F5" w:fill="C0E6F5"/>
            <w:vAlign w:val="center"/>
            <w:hideMark/>
          </w:tcPr>
          <w:p w14:paraId="0B25392C"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71 à 80 ans</w:t>
            </w:r>
          </w:p>
        </w:tc>
        <w:tc>
          <w:tcPr>
            <w:tcW w:w="1860" w:type="dxa"/>
            <w:tcBorders>
              <w:top w:val="single" w:sz="4" w:space="0" w:color="FFFFFF"/>
              <w:left w:val="single" w:sz="4" w:space="0" w:color="FFFFFF"/>
              <w:bottom w:val="single" w:sz="4" w:space="0" w:color="FFFFFF"/>
              <w:right w:val="single" w:sz="4" w:space="0" w:color="FFFFFF"/>
            </w:tcBorders>
            <w:shd w:val="clear" w:color="C0E6F5" w:fill="C0E6F5"/>
            <w:vAlign w:val="center"/>
            <w:hideMark/>
          </w:tcPr>
          <w:p w14:paraId="2E0EF838"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30%</w:t>
            </w:r>
          </w:p>
        </w:tc>
        <w:tc>
          <w:tcPr>
            <w:tcW w:w="2540" w:type="dxa"/>
            <w:tcBorders>
              <w:top w:val="single" w:sz="4" w:space="0" w:color="FFFFFF"/>
              <w:left w:val="single" w:sz="4" w:space="0" w:color="FFFFFF"/>
              <w:bottom w:val="single" w:sz="4" w:space="0" w:color="FFFFFF"/>
              <w:right w:val="nil"/>
            </w:tcBorders>
            <w:shd w:val="clear" w:color="C0E6F5" w:fill="C0E6F5"/>
            <w:vAlign w:val="center"/>
            <w:hideMark/>
          </w:tcPr>
          <w:p w14:paraId="0F554EC5"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70%</w:t>
            </w:r>
          </w:p>
        </w:tc>
      </w:tr>
      <w:tr w:rsidR="002E1BD3" w:rsidRPr="00CB245E" w14:paraId="3E1042A6" w14:textId="77777777" w:rsidTr="002E1BD3">
        <w:trPr>
          <w:trHeight w:val="495"/>
        </w:trPr>
        <w:tc>
          <w:tcPr>
            <w:tcW w:w="2660" w:type="dxa"/>
            <w:tcBorders>
              <w:top w:val="single" w:sz="4" w:space="0" w:color="FFFFFF"/>
              <w:left w:val="single" w:sz="8" w:space="0" w:color="EEEEEE"/>
              <w:bottom w:val="single" w:sz="4" w:space="0" w:color="FFFFFF"/>
              <w:right w:val="single" w:sz="4" w:space="0" w:color="FFFFFF"/>
            </w:tcBorders>
            <w:shd w:val="clear" w:color="83CCEB" w:fill="83CCEB"/>
            <w:vAlign w:val="center"/>
            <w:hideMark/>
          </w:tcPr>
          <w:p w14:paraId="734BF799"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de 81 à 90 ans</w:t>
            </w:r>
          </w:p>
        </w:tc>
        <w:tc>
          <w:tcPr>
            <w:tcW w:w="1860" w:type="dxa"/>
            <w:tcBorders>
              <w:top w:val="single" w:sz="4" w:space="0" w:color="FFFFFF"/>
              <w:left w:val="single" w:sz="4" w:space="0" w:color="FFFFFF"/>
              <w:bottom w:val="single" w:sz="4" w:space="0" w:color="FFFFFF"/>
              <w:right w:val="single" w:sz="4" w:space="0" w:color="FFFFFF"/>
            </w:tcBorders>
            <w:shd w:val="clear" w:color="83CCEB" w:fill="83CCEB"/>
            <w:vAlign w:val="center"/>
            <w:hideMark/>
          </w:tcPr>
          <w:p w14:paraId="44669E72"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20%</w:t>
            </w:r>
          </w:p>
        </w:tc>
        <w:tc>
          <w:tcPr>
            <w:tcW w:w="2540" w:type="dxa"/>
            <w:tcBorders>
              <w:top w:val="single" w:sz="4" w:space="0" w:color="FFFFFF"/>
              <w:left w:val="single" w:sz="4" w:space="0" w:color="FFFFFF"/>
              <w:bottom w:val="single" w:sz="4" w:space="0" w:color="FFFFFF"/>
              <w:right w:val="nil"/>
            </w:tcBorders>
            <w:shd w:val="clear" w:color="83CCEB" w:fill="83CCEB"/>
            <w:vAlign w:val="center"/>
            <w:hideMark/>
          </w:tcPr>
          <w:p w14:paraId="2FD94A9D"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80%</w:t>
            </w:r>
          </w:p>
        </w:tc>
      </w:tr>
      <w:tr w:rsidR="002E1BD3" w:rsidRPr="00CB245E" w14:paraId="0EA08178" w14:textId="77777777" w:rsidTr="002E1BD3">
        <w:trPr>
          <w:trHeight w:val="495"/>
        </w:trPr>
        <w:tc>
          <w:tcPr>
            <w:tcW w:w="2660" w:type="dxa"/>
            <w:tcBorders>
              <w:top w:val="single" w:sz="4" w:space="0" w:color="FFFFFF"/>
              <w:left w:val="single" w:sz="8" w:space="0" w:color="EEEEEE"/>
              <w:bottom w:val="nil"/>
              <w:right w:val="single" w:sz="4" w:space="0" w:color="FFFFFF"/>
            </w:tcBorders>
            <w:shd w:val="clear" w:color="C0E6F5" w:fill="C0E6F5"/>
            <w:vAlign w:val="center"/>
            <w:hideMark/>
          </w:tcPr>
          <w:p w14:paraId="10D9BD70"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à partir de 91 ans</w:t>
            </w:r>
          </w:p>
        </w:tc>
        <w:tc>
          <w:tcPr>
            <w:tcW w:w="1860" w:type="dxa"/>
            <w:tcBorders>
              <w:top w:val="single" w:sz="4" w:space="0" w:color="FFFFFF"/>
              <w:left w:val="single" w:sz="4" w:space="0" w:color="FFFFFF"/>
              <w:bottom w:val="nil"/>
              <w:right w:val="single" w:sz="4" w:space="0" w:color="FFFFFF"/>
            </w:tcBorders>
            <w:shd w:val="clear" w:color="C0E6F5" w:fill="C0E6F5"/>
            <w:vAlign w:val="center"/>
            <w:hideMark/>
          </w:tcPr>
          <w:p w14:paraId="0C453115"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10%</w:t>
            </w:r>
          </w:p>
        </w:tc>
        <w:tc>
          <w:tcPr>
            <w:tcW w:w="2540" w:type="dxa"/>
            <w:tcBorders>
              <w:top w:val="single" w:sz="4" w:space="0" w:color="FFFFFF"/>
              <w:left w:val="single" w:sz="4" w:space="0" w:color="FFFFFF"/>
              <w:bottom w:val="nil"/>
              <w:right w:val="nil"/>
            </w:tcBorders>
            <w:shd w:val="clear" w:color="C0E6F5" w:fill="C0E6F5"/>
            <w:vAlign w:val="center"/>
            <w:hideMark/>
          </w:tcPr>
          <w:p w14:paraId="5578995E" w14:textId="77777777" w:rsidR="002E1BD3" w:rsidRPr="00CB245E" w:rsidRDefault="002E1BD3" w:rsidP="002E1BD3">
            <w:pPr>
              <w:spacing w:after="0" w:line="240" w:lineRule="auto"/>
              <w:ind w:firstLineChars="100" w:firstLine="320"/>
              <w:jc w:val="left"/>
              <w:rPr>
                <w:rFonts w:eastAsia="Times New Roman" w:cs="Open Sans"/>
                <w:color w:val="000000"/>
                <w:szCs w:val="24"/>
              </w:rPr>
            </w:pPr>
            <w:r w:rsidRPr="00CB245E">
              <w:rPr>
                <w:rFonts w:eastAsia="Times New Roman" w:cs="Open Sans"/>
                <w:color w:val="000000"/>
                <w:szCs w:val="24"/>
              </w:rPr>
              <w:t>90%</w:t>
            </w:r>
          </w:p>
        </w:tc>
      </w:tr>
    </w:tbl>
    <w:p w14:paraId="383CC61E" w14:textId="77777777" w:rsidR="002E1BD3" w:rsidRPr="00CB245E" w:rsidRDefault="002E1BD3" w:rsidP="00CB245E">
      <w:pPr>
        <w:pStyle w:val="CGPC-elearning"/>
      </w:pPr>
    </w:p>
    <w:p w14:paraId="3F0865DA" w14:textId="77777777" w:rsidR="002E1BD3" w:rsidRPr="00CB245E" w:rsidRDefault="002E1BD3" w:rsidP="00CB245E">
      <w:pPr>
        <w:pStyle w:val="CGPC-elearning"/>
      </w:pPr>
    </w:p>
    <w:p w14:paraId="4510E4E0" w14:textId="77777777" w:rsidR="002E1BD3" w:rsidRPr="00CB245E" w:rsidRDefault="002E1BD3" w:rsidP="00CB245E">
      <w:pPr>
        <w:pStyle w:val="CGPC-elearning"/>
      </w:pPr>
    </w:p>
    <w:p w14:paraId="265D1B45"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16969EE3" w14:textId="77777777" w:rsidR="00987382" w:rsidRPr="00CB245E" w:rsidRDefault="00987382" w:rsidP="00CB245E">
      <w:pPr>
        <w:pStyle w:val="CGPC-elearning"/>
      </w:pPr>
    </w:p>
    <w:p w14:paraId="5CEBF6EA" w14:textId="77777777" w:rsidR="00C9307D" w:rsidRPr="00CB245E" w:rsidRDefault="00C9307D" w:rsidP="008B0BC3">
      <w:pPr>
        <w:pStyle w:val="Citationintense"/>
        <w:rPr>
          <w:lang w:eastAsia="fr-FR"/>
        </w:rPr>
      </w:pPr>
      <w:r w:rsidRPr="00CB245E">
        <w:rPr>
          <w:lang w:eastAsia="fr-FR"/>
        </w:rPr>
        <w:t> CAS D’APPLICATION</w:t>
      </w:r>
    </w:p>
    <w:p w14:paraId="636C4878" w14:textId="77777777" w:rsidR="00C9307D" w:rsidRPr="00CB245E" w:rsidRDefault="00C9307D" w:rsidP="00CB245E">
      <w:pPr>
        <w:pStyle w:val="CGPC-elearning"/>
      </w:pPr>
      <w:r w:rsidRPr="00CB245E">
        <w:t>Cas n°1 :</w:t>
      </w:r>
    </w:p>
    <w:p w14:paraId="4C251F26" w14:textId="77777777" w:rsidR="00C9307D" w:rsidRPr="00CB245E" w:rsidRDefault="00C9307D" w:rsidP="00CB245E">
      <w:pPr>
        <w:pStyle w:val="CGPC-elearning"/>
      </w:pPr>
      <w:r w:rsidRPr="00CB245E">
        <w:t>Biens divers = 120 000 euros</w:t>
      </w:r>
    </w:p>
    <w:p w14:paraId="4728E2CD" w14:textId="77777777" w:rsidR="00C9307D" w:rsidRPr="00CB245E" w:rsidRDefault="00C9307D" w:rsidP="00CB245E">
      <w:pPr>
        <w:pStyle w:val="CGPC-elearning"/>
      </w:pPr>
      <w:r w:rsidRPr="00CB245E">
        <w:t>Conjoint survivant = 47 ans.</w:t>
      </w:r>
    </w:p>
    <w:p w14:paraId="06919ED4" w14:textId="77777777" w:rsidR="00C9307D" w:rsidRPr="00CB245E" w:rsidRDefault="00C9307D" w:rsidP="00CB245E">
      <w:pPr>
        <w:pStyle w:val="CGPC-elearning"/>
      </w:pPr>
      <w:r w:rsidRPr="00CB245E">
        <w:rPr>
          <w:i/>
          <w:iCs/>
        </w:rPr>
        <w:t>Ni </w:t>
      </w:r>
      <w:r w:rsidRPr="00CB245E">
        <w:t>testament</w:t>
      </w:r>
      <w:r w:rsidRPr="00CB245E">
        <w:rPr>
          <w:i/>
          <w:iCs/>
        </w:rPr>
        <w:t>, ni </w:t>
      </w:r>
      <w:r w:rsidRPr="00CB245E">
        <w:t>donation.</w:t>
      </w:r>
    </w:p>
    <w:p w14:paraId="1B86E204" w14:textId="77777777" w:rsidR="00C9307D" w:rsidRPr="00CB245E" w:rsidRDefault="00C9307D" w:rsidP="00CB245E">
      <w:pPr>
        <w:pStyle w:val="CGPC-elearning"/>
      </w:pPr>
      <w:r w:rsidRPr="00CB245E">
        <w:t>Deux enfants nés d’une autre union du défunt.</w:t>
      </w:r>
    </w:p>
    <w:p w14:paraId="39EBB4AA" w14:textId="3DAC66DD" w:rsidR="00C9307D" w:rsidRPr="00CB245E" w:rsidRDefault="00C9307D" w:rsidP="00CB245E">
      <w:pPr>
        <w:pStyle w:val="CGPC-elearning"/>
      </w:pPr>
      <w:r w:rsidRPr="00CB245E">
        <w:t>Dans la dévolution légale, le conjoint survivant hérite d’1/4 de la succession en pleine propriété, soit :</w:t>
      </w:r>
      <w:r w:rsidRPr="00CB245E">
        <w:br/>
        <w:t>1/4 x 120 000 euros = 30 000 euros.</w:t>
      </w:r>
    </w:p>
    <w:p w14:paraId="733C2FE8" w14:textId="16D57F80" w:rsidR="00C9307D" w:rsidRPr="00CB245E" w:rsidRDefault="00C9307D" w:rsidP="00CB245E">
      <w:pPr>
        <w:pStyle w:val="CGPC-elearning"/>
      </w:pPr>
      <w:r w:rsidRPr="00CB245E">
        <w:t>Parts des deux enfants, soit : 3/4 en pleine propriété :</w:t>
      </w:r>
      <w:r w:rsidRPr="00CB245E">
        <w:br/>
        <w:t>3/4 x 120 000 euros = 90 000 euros ;</w:t>
      </w:r>
      <w:r w:rsidRPr="00CB245E">
        <w:br/>
        <w:t>(ou 120 000 – part du conjoint 30 000 = 90 000 euros).</w:t>
      </w:r>
    </w:p>
    <w:p w14:paraId="396A8B67" w14:textId="77777777" w:rsidR="00987382" w:rsidRPr="00CB245E" w:rsidRDefault="00987382" w:rsidP="00CB245E">
      <w:pPr>
        <w:pStyle w:val="CGPC-elearning"/>
      </w:pPr>
    </w:p>
    <w:p w14:paraId="3EA830C7" w14:textId="77777777" w:rsidR="00987382" w:rsidRPr="00CB245E" w:rsidRDefault="00987382" w:rsidP="00CB245E">
      <w:pPr>
        <w:pStyle w:val="CGPC-elearning"/>
      </w:pPr>
    </w:p>
    <w:p w14:paraId="7DE2A726" w14:textId="77777777" w:rsidR="00987382" w:rsidRPr="00CB245E" w:rsidRDefault="00987382" w:rsidP="00CB245E">
      <w:pPr>
        <w:pStyle w:val="CGPC-elearning"/>
      </w:pPr>
    </w:p>
    <w:p w14:paraId="6706C041" w14:textId="5D44F4A7" w:rsidR="00C9307D" w:rsidRPr="00CB245E" w:rsidRDefault="00C9307D" w:rsidP="00CB245E">
      <w:pPr>
        <w:pStyle w:val="CGPC-elearning"/>
      </w:pPr>
      <w:r w:rsidRPr="00CB245E">
        <w:t>Cas n°2 : </w:t>
      </w:r>
    </w:p>
    <w:p w14:paraId="090A69E3" w14:textId="77777777" w:rsidR="00C9307D" w:rsidRPr="00CB245E" w:rsidRDefault="00C9307D" w:rsidP="00CB245E">
      <w:pPr>
        <w:pStyle w:val="CGPC-elearning"/>
      </w:pPr>
      <w:r w:rsidRPr="00CB245E">
        <w:t>Bien immobilier = 90 000 euros. </w:t>
      </w:r>
      <w:r w:rsidRPr="00CB245E">
        <w:br/>
        <w:t>Option de 100% en usufruit. </w:t>
      </w:r>
      <w:r w:rsidRPr="00CB245E">
        <w:br/>
        <w:t>Conjoint survivant = 52 ans. </w:t>
      </w:r>
      <w:r w:rsidRPr="00CB245E">
        <w:br/>
        <w:t>Deux enfants communs.</w:t>
      </w:r>
    </w:p>
    <w:p w14:paraId="0CB99C0F" w14:textId="495B1E1B" w:rsidR="00C9307D" w:rsidRPr="00CB245E" w:rsidRDefault="00C9307D" w:rsidP="00CB245E">
      <w:pPr>
        <w:pStyle w:val="CGPC-elearning"/>
      </w:pPr>
      <w:r w:rsidRPr="00CB245E">
        <w:t>Part du conjoint survivant :</w:t>
      </w:r>
      <w:r w:rsidRPr="00CB245E">
        <w:br/>
        <w:t>100 % x (90 000 euros x 50 %) = 45 000 euros (valeur de l’usufruit).</w:t>
      </w:r>
    </w:p>
    <w:p w14:paraId="47A4A2D2" w14:textId="77777777" w:rsidR="00C9307D" w:rsidRPr="00CB245E" w:rsidRDefault="00C9307D" w:rsidP="00CB245E">
      <w:pPr>
        <w:pStyle w:val="CGPC-elearning"/>
      </w:pPr>
      <w:r w:rsidRPr="00CB245E">
        <w:t>Parts des deux enfants : </w:t>
      </w:r>
      <w:r w:rsidRPr="00CB245E">
        <w:br/>
        <w:t>90 000 euros – 45 000 euros = 45 000 euros </w:t>
      </w:r>
      <w:r w:rsidRPr="00CB245E">
        <w:br/>
        <w:t>[ce qui représente 100 % en nue-propriété </w:t>
      </w:r>
      <w:r w:rsidRPr="00CB245E">
        <w:br/>
        <w:t>(soit 100 % x 90 000 x 50 % = 45 000 euros)].</w:t>
      </w:r>
    </w:p>
    <w:p w14:paraId="1207350C" w14:textId="77777777" w:rsidR="00C9307D"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398AD045" w14:textId="14E4360B" w:rsidR="00C9307D" w:rsidRPr="00CB245E" w:rsidRDefault="008B0BC3" w:rsidP="00CB245E">
      <w:pPr>
        <w:pStyle w:val="CGPC-elearning"/>
      </w:pPr>
      <w:r w:rsidRPr="00CB245E">
        <w:t>Paiement des droits de succession :</w:t>
      </w:r>
    </w:p>
    <w:p w14:paraId="3F77C489" w14:textId="77777777" w:rsidR="008B0BC3" w:rsidRPr="00CB245E" w:rsidRDefault="008B0BC3" w:rsidP="00C9307D">
      <w:pPr>
        <w:spacing w:after="0" w:line="240" w:lineRule="auto"/>
        <w:textAlignment w:val="baseline"/>
        <w:rPr>
          <w:rFonts w:eastAsia="Times New Roman" w:cs="Open Sans"/>
          <w:color w:val="666666"/>
          <w:sz w:val="21"/>
          <w:szCs w:val="21"/>
          <w:lang w:eastAsia="fr-FR"/>
        </w:rPr>
      </w:pPr>
    </w:p>
    <w:p w14:paraId="1D64C8C6" w14:textId="11FA03FD" w:rsidR="00C9307D" w:rsidRPr="00CB245E" w:rsidRDefault="00C9307D" w:rsidP="00CB245E">
      <w:pPr>
        <w:pStyle w:val="CGPC-elearning"/>
      </w:pPr>
      <w:r w:rsidRPr="00CB245E">
        <w:t>Les droits de succession doivent être payés en même temps que le dépôt de la déclaration au pôle enregistrement du SIE compétent en fonction du lieu de domicile du défunt.</w:t>
      </w:r>
    </w:p>
    <w:p w14:paraId="3E772860" w14:textId="7D2E408B" w:rsidR="00C9307D" w:rsidRPr="00CB245E" w:rsidRDefault="00987382" w:rsidP="00CB245E">
      <w:pPr>
        <w:pStyle w:val="CGPC-elearning"/>
      </w:pPr>
      <w:r w:rsidRPr="00CB245E">
        <w:t xml:space="preserve">Le règlement se fait : </w:t>
      </w:r>
    </w:p>
    <w:p w14:paraId="7C54B98C" w14:textId="27101017" w:rsidR="00C9307D" w:rsidRPr="00CB245E" w:rsidRDefault="00C9307D" w:rsidP="00CB245E">
      <w:pPr>
        <w:pStyle w:val="CGPC-elearning"/>
      </w:pPr>
      <w:r w:rsidRPr="00CB245E">
        <w:t>en espèces dans la limite de 300 € ;</w:t>
      </w:r>
    </w:p>
    <w:p w14:paraId="595F256C" w14:textId="77777777" w:rsidR="00C9307D" w:rsidRPr="00CB245E" w:rsidRDefault="00C9307D" w:rsidP="00CB245E">
      <w:pPr>
        <w:pStyle w:val="CGPC-elearning"/>
      </w:pPr>
      <w:r w:rsidRPr="00CB245E">
        <w:t>par chèque ;</w:t>
      </w:r>
    </w:p>
    <w:p w14:paraId="322B79ED" w14:textId="77777777" w:rsidR="00C9307D" w:rsidRPr="00CB245E" w:rsidRDefault="00C9307D" w:rsidP="00CB245E">
      <w:pPr>
        <w:pStyle w:val="CGPC-elearning"/>
      </w:pPr>
      <w:r w:rsidRPr="00CB245E">
        <w:t>par remise d’œuvres d’art, livres ou objets de collection présentant un intérêt exceptionnel, après agrément ministériel ;</w:t>
      </w:r>
    </w:p>
    <w:p w14:paraId="48F13CD5" w14:textId="77777777" w:rsidR="00C9307D" w:rsidRPr="00CB245E" w:rsidRDefault="00C9307D" w:rsidP="00CB245E">
      <w:pPr>
        <w:pStyle w:val="CGPC-elearning"/>
      </w:pPr>
      <w:r w:rsidRPr="00CB245E">
        <w:t>par remise d’immeubles situés dans les zones d’intervention du conservatoire du littoral et des rivages lacustres, après agrément ministériel.</w:t>
      </w:r>
    </w:p>
    <w:p w14:paraId="69B79902" w14:textId="77777777" w:rsidR="00C9307D" w:rsidRPr="00CB245E" w:rsidRDefault="00C9307D" w:rsidP="00CB245E">
      <w:pPr>
        <w:pStyle w:val="CGPC-elearning"/>
      </w:pPr>
      <w:r w:rsidRPr="00CB245E">
        <w:lastRenderedPageBreak/>
        <w:t>Toutefois sous certaines conditions, ils peuvent faire l’objet d’un paiement différé ou fractionné lorsque la transmission porte sur la nue-propriété des biens de la succession (présence d’un conjoint survivant) ou donne lieu à attribution préférentielle d’une exploitation agricole. Ce report d’imposition se fera moyennant le versement d’intérêts et cessera dans les 6 mois suivant la réunion de l’usufruit à la nue-propriété ou en cas de paiement (versement des soultes ou cession des biens).</w:t>
      </w:r>
    </w:p>
    <w:p w14:paraId="4375D591" w14:textId="77777777" w:rsidR="00C9307D" w:rsidRPr="00CB245E" w:rsidRDefault="00C9307D" w:rsidP="00CB245E">
      <w:pPr>
        <w:pStyle w:val="CGPC-elearning"/>
      </w:pPr>
      <w:r w:rsidRPr="00CB245E">
        <w:t xml:space="preserve">Ou d’un paiement fractionné des droits, si la succession comporte au moins 50 % de son actif en biens non liquides (immeubles, objets d’arts, valeurs mobilières non cotées). Dans ce cas, après avoir présenté des garanties suffisantes, les droits doivent être versés dans un délai </w:t>
      </w:r>
      <w:proofErr w:type="gramStart"/>
      <w:r w:rsidRPr="00CB245E">
        <w:t>de un</w:t>
      </w:r>
      <w:proofErr w:type="gramEnd"/>
      <w:r w:rsidRPr="00CB245E">
        <w:t xml:space="preserve"> ou trois ans, moyennant le versement d’intérêts.</w:t>
      </w:r>
    </w:p>
    <w:p w14:paraId="1A8EEE79" w14:textId="77777777" w:rsidR="00C9307D" w:rsidRPr="00CB245E" w:rsidRDefault="00C9307D" w:rsidP="00CB245E">
      <w:pPr>
        <w:pStyle w:val="CGPC-elearning"/>
      </w:pPr>
      <w:r w:rsidRPr="00CB245E">
        <w:t xml:space="preserve">Le paiement des droits dus sur les transmissions d’entreprises peut, sous certaines conditions, être différé </w:t>
      </w:r>
      <w:proofErr w:type="gramStart"/>
      <w:r w:rsidRPr="00CB245E">
        <w:t>pendant  cinq</w:t>
      </w:r>
      <w:proofErr w:type="gramEnd"/>
      <w:r w:rsidRPr="00CB245E">
        <w:t xml:space="preserve"> ans puis fractionné pendant dix ans.</w:t>
      </w:r>
    </w:p>
    <w:p w14:paraId="785F66C7" w14:textId="13BCA9D3" w:rsidR="00CA28D0" w:rsidRPr="00CB245E" w:rsidRDefault="00C9307D" w:rsidP="00C9307D">
      <w:pPr>
        <w:spacing w:after="0" w:line="240" w:lineRule="auto"/>
        <w:textAlignment w:val="baseline"/>
        <w:rPr>
          <w:rFonts w:eastAsia="Times New Roman" w:cs="Open Sans"/>
          <w:color w:val="666666"/>
          <w:sz w:val="21"/>
          <w:szCs w:val="21"/>
          <w:lang w:eastAsia="fr-FR"/>
        </w:rPr>
      </w:pPr>
      <w:r w:rsidRPr="00CB245E">
        <w:rPr>
          <w:rFonts w:eastAsia="Times New Roman" w:cs="Open Sans"/>
          <w:color w:val="666666"/>
          <w:sz w:val="21"/>
          <w:szCs w:val="21"/>
          <w:lang w:eastAsia="fr-FR"/>
        </w:rPr>
        <w:t> </w:t>
      </w:r>
    </w:p>
    <w:p w14:paraId="7EF6E3CA" w14:textId="5C6ECD3D" w:rsidR="00C9307D" w:rsidRPr="00CB245E" w:rsidRDefault="008B0BC3" w:rsidP="00CB245E">
      <w:pPr>
        <w:pStyle w:val="Titre2"/>
      </w:pPr>
      <w:bookmarkStart w:id="19" w:name="_Toc230697797"/>
      <w:r w:rsidRPr="00CB245E">
        <w:t>En cas de retard ou de mauvaises déclarations successorales ?</w:t>
      </w:r>
      <w:bookmarkEnd w:id="19"/>
    </w:p>
    <w:p w14:paraId="0BE78C37" w14:textId="77777777" w:rsidR="008B0BC3" w:rsidRPr="00CB245E" w:rsidRDefault="008B0BC3" w:rsidP="00C9307D">
      <w:pPr>
        <w:spacing w:after="0" w:line="240" w:lineRule="auto"/>
        <w:textAlignment w:val="baseline"/>
        <w:rPr>
          <w:rFonts w:eastAsia="Times New Roman" w:cs="Open Sans"/>
          <w:color w:val="666666"/>
          <w:sz w:val="21"/>
          <w:szCs w:val="21"/>
          <w:lang w:eastAsia="fr-FR"/>
        </w:rPr>
      </w:pPr>
    </w:p>
    <w:p w14:paraId="608DB431" w14:textId="21C489CF" w:rsidR="00C9307D" w:rsidRPr="00CB245E" w:rsidRDefault="00C9307D" w:rsidP="00CB245E">
      <w:pPr>
        <w:pStyle w:val="CGPC-elearning"/>
      </w:pPr>
      <w:r w:rsidRPr="00CB245E">
        <w:t xml:space="preserve">Le retard de </w:t>
      </w:r>
      <w:proofErr w:type="gramStart"/>
      <w:r w:rsidRPr="00CB245E">
        <w:t>la  déclaration</w:t>
      </w:r>
      <w:proofErr w:type="gramEnd"/>
      <w:r w:rsidRPr="00CB245E">
        <w:t xml:space="preserve"> de succession, peut déclencher des pénalités. En effet, des intérêts de retards mensuels d’un montant de 0,40% sont mis en place par l’administration fiscale. De plus, à partir du treizième mois, la majoration passe à 10 %, elle peut notamment atteindre 40 % à partir du 20e mois.</w:t>
      </w:r>
    </w:p>
    <w:p w14:paraId="3746A6B9" w14:textId="77777777" w:rsidR="00C9307D" w:rsidRPr="00CB245E" w:rsidRDefault="00C9307D" w:rsidP="00CB245E">
      <w:pPr>
        <w:pStyle w:val="CGPC-elearning"/>
      </w:pPr>
      <w:r w:rsidRPr="00CB245E">
        <w:t>Attention ! Si la déclaration de succession n’est toujours pas faite, les bénéficiaires disposent de trois mois, après la mise en demeure de l’administration fiscale, pour régulariser leur situation avant de subir la taxation d’office prévue par le Livre des procédures fiscales. L’addition peut donc vite devenir faramineuse !</w:t>
      </w:r>
    </w:p>
    <w:p w14:paraId="2C76E8C4" w14:textId="638DEEF7" w:rsidR="00E76F2A" w:rsidRPr="00CB245E" w:rsidRDefault="00C9307D" w:rsidP="00CB245E">
      <w:pPr>
        <w:pStyle w:val="CGPC-elearning"/>
      </w:pPr>
      <w:r w:rsidRPr="00CB245E">
        <w:t>De plus, si la déclaration de succession est incomplète ou si les </w:t>
      </w:r>
      <w:hyperlink r:id="rId13" w:history="1">
        <w:r w:rsidRPr="00CB245E">
          <w:rPr>
            <w:color w:val="2C498B"/>
            <w:u w:val="single"/>
          </w:rPr>
          <w:t>droits de succession</w:t>
        </w:r>
      </w:hyperlink>
      <w:r w:rsidRPr="00CB245E">
        <w:t> ont été partiellement payés des pénalités sont également encourues.</w:t>
      </w:r>
    </w:p>
    <w:p w14:paraId="57157895" w14:textId="77777777" w:rsidR="00E76F2A" w:rsidRPr="00CB245E" w:rsidRDefault="00E76F2A" w:rsidP="00CB245E">
      <w:pPr>
        <w:pStyle w:val="CGPC-elearning"/>
      </w:pPr>
      <w:r w:rsidRPr="00CB245E">
        <w:br w:type="page"/>
      </w:r>
    </w:p>
    <w:p w14:paraId="17B05A89" w14:textId="57FD6550" w:rsidR="00C9307D" w:rsidRPr="00CB245E" w:rsidRDefault="00E76F2A" w:rsidP="00CB245E">
      <w:pPr>
        <w:jc w:val="center"/>
        <w:rPr>
          <w:b/>
          <w:bCs/>
          <w:color w:val="4472C4" w:themeColor="accent1"/>
          <w:sz w:val="56"/>
          <w:szCs w:val="56"/>
        </w:rPr>
      </w:pPr>
      <w:r w:rsidRPr="00CB245E">
        <w:rPr>
          <w:b/>
          <w:bCs/>
          <w:color w:val="4472C4" w:themeColor="accent1"/>
          <w:sz w:val="56"/>
          <w:szCs w:val="56"/>
        </w:rPr>
        <w:lastRenderedPageBreak/>
        <w:t>GLOSSAIRE</w:t>
      </w:r>
    </w:p>
    <w:p w14:paraId="26EBE130" w14:textId="77777777" w:rsidR="00E76F2A" w:rsidRPr="00CB245E" w:rsidRDefault="00E76F2A" w:rsidP="00CB245E">
      <w:pPr>
        <w:pStyle w:val="CGPC-elearning"/>
      </w:pPr>
    </w:p>
    <w:p w14:paraId="37461433" w14:textId="6B770AE4" w:rsidR="00CB245E" w:rsidRPr="00CB245E" w:rsidRDefault="00CB245E" w:rsidP="00CB245E">
      <w:pPr>
        <w:rPr>
          <w:b/>
          <w:bCs/>
          <w:sz w:val="48"/>
          <w:szCs w:val="48"/>
          <w:u w:val="single"/>
        </w:rPr>
      </w:pPr>
      <w:r w:rsidRPr="00E030C1">
        <w:rPr>
          <w:b/>
          <w:bCs/>
          <w:sz w:val="48"/>
          <w:szCs w:val="48"/>
          <w:u w:val="single"/>
        </w:rPr>
        <w:t>La quotité disponible ordinaire (QDO)</w:t>
      </w:r>
    </w:p>
    <w:p w14:paraId="6502BB46" w14:textId="6437445A" w:rsidR="00E030C1" w:rsidRPr="00E030C1" w:rsidRDefault="00E030C1" w:rsidP="00E030C1">
      <w:pPr>
        <w:shd w:val="clear" w:color="auto" w:fill="FFFFFF"/>
        <w:spacing w:after="300" w:line="420" w:lineRule="atLeast"/>
        <w:jc w:val="left"/>
        <w:rPr>
          <w:rFonts w:eastAsia="Times New Roman" w:cs="Open Sans"/>
          <w:color w:val="262626"/>
          <w:szCs w:val="32"/>
        </w:rPr>
      </w:pPr>
      <w:bookmarkStart w:id="20" w:name="_Hlk207696374"/>
      <w:r w:rsidRPr="00E030C1">
        <w:rPr>
          <w:rFonts w:eastAsia="Times New Roman" w:cs="Open Sans"/>
          <w:color w:val="262626"/>
          <w:szCs w:val="32"/>
        </w:rPr>
        <w:t xml:space="preserve">La </w:t>
      </w:r>
      <w:r w:rsidRPr="00E030C1">
        <w:rPr>
          <w:rFonts w:eastAsia="Times New Roman" w:cs="Open Sans"/>
          <w:b/>
          <w:bCs/>
          <w:color w:val="262626"/>
          <w:szCs w:val="32"/>
        </w:rPr>
        <w:t>quotité disponible ordinaire</w:t>
      </w:r>
      <w:r w:rsidRPr="00E030C1">
        <w:rPr>
          <w:rFonts w:eastAsia="Times New Roman" w:cs="Open Sans"/>
          <w:color w:val="262626"/>
          <w:szCs w:val="32"/>
        </w:rPr>
        <w:t xml:space="preserve"> (QDO) </w:t>
      </w:r>
      <w:bookmarkEnd w:id="20"/>
      <w:r w:rsidRPr="00E030C1">
        <w:rPr>
          <w:rFonts w:eastAsia="Times New Roman" w:cs="Open Sans"/>
          <w:color w:val="262626"/>
          <w:szCs w:val="32"/>
        </w:rPr>
        <w:t>est un concept juridique utilisé principalement dans le cadre du droit des successions et de la gestion des biens. Elle désigne la part d'un patrimoine qu'un héritier peut disposer librement, sans tenir compte des droits des autres héritiers réservataires.</w:t>
      </w:r>
    </w:p>
    <w:p w14:paraId="34D74AB1" w14:textId="77777777" w:rsidR="00E030C1" w:rsidRPr="00E030C1" w:rsidRDefault="00E030C1" w:rsidP="00CB245E">
      <w:pPr>
        <w:rPr>
          <w:rFonts w:cs="Open Sans"/>
          <w:b/>
          <w:bCs/>
          <w:szCs w:val="32"/>
        </w:rPr>
      </w:pPr>
      <w:r w:rsidRPr="00E030C1">
        <w:rPr>
          <w:rFonts w:cs="Open Sans"/>
          <w:b/>
          <w:bCs/>
          <w:szCs w:val="32"/>
        </w:rPr>
        <w:t>Détails sur la Quotité Disponible Ordinaire :</w:t>
      </w:r>
    </w:p>
    <w:p w14:paraId="42592F1C" w14:textId="77777777" w:rsidR="00E030C1" w:rsidRPr="00E030C1" w:rsidRDefault="00E030C1" w:rsidP="00E030C1">
      <w:pPr>
        <w:numPr>
          <w:ilvl w:val="0"/>
          <w:numId w:val="14"/>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Héritiers réservataires</w:t>
      </w:r>
      <w:r w:rsidRPr="00E030C1">
        <w:rPr>
          <w:rFonts w:eastAsia="Times New Roman" w:cs="Open Sans"/>
          <w:color w:val="262626"/>
          <w:szCs w:val="32"/>
        </w:rPr>
        <w:t> : Ce sont les héritiers qui ont droit à une part minimale de la succession, généralement les enfants et le conjoint survivant.</w:t>
      </w:r>
    </w:p>
    <w:p w14:paraId="72711199" w14:textId="77777777" w:rsidR="00E030C1" w:rsidRPr="00E030C1" w:rsidRDefault="00E030C1" w:rsidP="00E030C1">
      <w:pPr>
        <w:numPr>
          <w:ilvl w:val="0"/>
          <w:numId w:val="14"/>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Calcul de la QDO</w:t>
      </w:r>
      <w:r w:rsidRPr="00E030C1">
        <w:rPr>
          <w:rFonts w:eastAsia="Times New Roman" w:cs="Open Sans"/>
          <w:color w:val="262626"/>
          <w:szCs w:val="32"/>
        </w:rPr>
        <w:t> : La QDO est calculée en soustrayant la part réservataire des héritiers de la valeur totale de la succession. Par exemple, si la valeur de la succession est de 100 000 € et que la part réservataire est de 75 000 €, la QDO sera de 25 000 €.</w:t>
      </w:r>
    </w:p>
    <w:p w14:paraId="76BCFEE8" w14:textId="77777777" w:rsidR="00E030C1" w:rsidRPr="00E030C1" w:rsidRDefault="00E030C1" w:rsidP="00E030C1">
      <w:pPr>
        <w:numPr>
          <w:ilvl w:val="0"/>
          <w:numId w:val="14"/>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Utilisation</w:t>
      </w:r>
      <w:r w:rsidRPr="00E030C1">
        <w:rPr>
          <w:rFonts w:eastAsia="Times New Roman" w:cs="Open Sans"/>
          <w:color w:val="262626"/>
          <w:szCs w:val="32"/>
        </w:rPr>
        <w:t xml:space="preserve"> : Le défunt peut léguer cette quotité à qui bon lui semble, que ce </w:t>
      </w:r>
      <w:proofErr w:type="gramStart"/>
      <w:r w:rsidRPr="00E030C1">
        <w:rPr>
          <w:rFonts w:eastAsia="Times New Roman" w:cs="Open Sans"/>
          <w:color w:val="262626"/>
          <w:szCs w:val="32"/>
        </w:rPr>
        <w:t>soit</w:t>
      </w:r>
      <w:proofErr w:type="gramEnd"/>
      <w:r w:rsidRPr="00E030C1">
        <w:rPr>
          <w:rFonts w:eastAsia="Times New Roman" w:cs="Open Sans"/>
          <w:color w:val="262626"/>
          <w:szCs w:val="32"/>
        </w:rPr>
        <w:t xml:space="preserve"> des amis, des œuvres de charité, ou d'autres personnes.</w:t>
      </w:r>
    </w:p>
    <w:p w14:paraId="4B8C12E0" w14:textId="77777777" w:rsidR="00E030C1" w:rsidRPr="00E030C1" w:rsidRDefault="00E030C1" w:rsidP="00CB245E">
      <w:pPr>
        <w:rPr>
          <w:rFonts w:cs="Open Sans"/>
          <w:b/>
          <w:bCs/>
          <w:szCs w:val="32"/>
        </w:rPr>
      </w:pPr>
      <w:r w:rsidRPr="00E030C1">
        <w:rPr>
          <w:rFonts w:cs="Open Sans"/>
          <w:b/>
          <w:bCs/>
          <w:szCs w:val="32"/>
        </w:rPr>
        <w:t>Exemple de Calcul :</w:t>
      </w:r>
    </w:p>
    <w:p w14:paraId="57BCFA4F" w14:textId="77777777" w:rsidR="00E030C1" w:rsidRPr="00E030C1" w:rsidRDefault="00E030C1" w:rsidP="00E030C1">
      <w:pPr>
        <w:numPr>
          <w:ilvl w:val="0"/>
          <w:numId w:val="15"/>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Valeur totale de la succession</w:t>
      </w:r>
      <w:r w:rsidRPr="00E030C1">
        <w:rPr>
          <w:rFonts w:eastAsia="Times New Roman" w:cs="Open Sans"/>
          <w:color w:val="262626"/>
          <w:szCs w:val="32"/>
        </w:rPr>
        <w:t> : 100 000 €</w:t>
      </w:r>
    </w:p>
    <w:p w14:paraId="07DB87DD" w14:textId="77777777" w:rsidR="00E030C1" w:rsidRPr="00E030C1" w:rsidRDefault="00E030C1" w:rsidP="00E030C1">
      <w:pPr>
        <w:numPr>
          <w:ilvl w:val="0"/>
          <w:numId w:val="15"/>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Part réservataire (ex. pour 2 enfants)</w:t>
      </w:r>
      <w:r w:rsidRPr="00E030C1">
        <w:rPr>
          <w:rFonts w:eastAsia="Times New Roman" w:cs="Open Sans"/>
          <w:color w:val="262626"/>
          <w:szCs w:val="32"/>
        </w:rPr>
        <w:t> : 66 666 € (33 333 € chacun)</w:t>
      </w:r>
    </w:p>
    <w:p w14:paraId="0BF7D0A0" w14:textId="77777777" w:rsidR="00E030C1" w:rsidRPr="00E030C1" w:rsidRDefault="00E030C1" w:rsidP="00E030C1">
      <w:pPr>
        <w:numPr>
          <w:ilvl w:val="0"/>
          <w:numId w:val="15"/>
        </w:numPr>
        <w:shd w:val="clear" w:color="auto" w:fill="FFFFFF"/>
        <w:spacing w:before="120" w:after="120" w:line="240" w:lineRule="auto"/>
        <w:jc w:val="left"/>
        <w:rPr>
          <w:rFonts w:eastAsia="Times New Roman" w:cs="Open Sans"/>
          <w:color w:val="262626"/>
          <w:szCs w:val="32"/>
        </w:rPr>
      </w:pPr>
      <w:r w:rsidRPr="00E030C1">
        <w:rPr>
          <w:rFonts w:eastAsia="Times New Roman" w:cs="Open Sans"/>
          <w:b/>
          <w:bCs/>
          <w:color w:val="262626"/>
          <w:szCs w:val="32"/>
        </w:rPr>
        <w:t>Quotité disponible ordinaire</w:t>
      </w:r>
      <w:r w:rsidRPr="00E030C1">
        <w:rPr>
          <w:rFonts w:eastAsia="Times New Roman" w:cs="Open Sans"/>
          <w:color w:val="262626"/>
          <w:szCs w:val="32"/>
        </w:rPr>
        <w:t> : </w:t>
      </w:r>
      <w:r w:rsidRPr="00E030C1">
        <w:rPr>
          <w:rFonts w:eastAsia="Times New Roman" w:cs="Open Sans"/>
          <w:color w:val="262626"/>
          <w:szCs w:val="32"/>
          <w:bdr w:val="none" w:sz="0" w:space="0" w:color="auto" w:frame="1"/>
        </w:rPr>
        <w:t>QDO=Valeur totale−Part re</w:t>
      </w:r>
      <w:r w:rsidRPr="00E030C1">
        <w:rPr>
          <w:rFonts w:ascii="Arial" w:eastAsia="Times New Roman" w:hAnsi="Arial" w:cs="Arial"/>
          <w:color w:val="262626"/>
          <w:szCs w:val="32"/>
          <w:bdr w:val="none" w:sz="0" w:space="0" w:color="auto" w:frame="1"/>
        </w:rPr>
        <w:t>ˊ</w:t>
      </w:r>
      <w:r w:rsidRPr="00E030C1">
        <w:rPr>
          <w:rFonts w:eastAsia="Times New Roman" w:cs="Open Sans"/>
          <w:color w:val="262626"/>
          <w:szCs w:val="32"/>
          <w:bdr w:val="none" w:sz="0" w:space="0" w:color="auto" w:frame="1"/>
        </w:rPr>
        <w:t>servataire=100000€−66666€=33334€</w:t>
      </w:r>
      <w:r w:rsidRPr="00E030C1">
        <w:rPr>
          <w:rFonts w:eastAsia="Times New Roman" w:cs="Open Sans"/>
          <w:i/>
          <w:iCs/>
          <w:color w:val="262626"/>
          <w:szCs w:val="32"/>
        </w:rPr>
        <w:t>QDO</w:t>
      </w:r>
      <w:r w:rsidRPr="00E030C1">
        <w:rPr>
          <w:rFonts w:eastAsia="Times New Roman" w:cs="Open Sans"/>
          <w:color w:val="262626"/>
          <w:szCs w:val="32"/>
        </w:rPr>
        <w:t>=</w:t>
      </w:r>
      <w:r w:rsidRPr="00E030C1">
        <w:rPr>
          <w:rFonts w:eastAsia="Times New Roman" w:cs="Open Sans"/>
          <w:i/>
          <w:iCs/>
          <w:color w:val="262626"/>
          <w:szCs w:val="32"/>
        </w:rPr>
        <w:t>Valeur</w:t>
      </w:r>
      <w:r w:rsidRPr="00E030C1">
        <w:rPr>
          <w:rFonts w:eastAsia="Times New Roman" w:cs="Open Sans"/>
          <w:color w:val="262626"/>
          <w:szCs w:val="32"/>
        </w:rPr>
        <w:t> </w:t>
      </w:r>
      <w:r w:rsidRPr="00E030C1">
        <w:rPr>
          <w:rFonts w:eastAsia="Times New Roman" w:cs="Open Sans"/>
          <w:i/>
          <w:iCs/>
          <w:color w:val="262626"/>
          <w:szCs w:val="32"/>
        </w:rPr>
        <w:t>totale</w:t>
      </w:r>
      <w:r w:rsidRPr="00E030C1">
        <w:rPr>
          <w:rFonts w:eastAsia="Times New Roman" w:cs="Open Sans"/>
          <w:color w:val="262626"/>
          <w:szCs w:val="32"/>
        </w:rPr>
        <w:t>−</w:t>
      </w:r>
      <w:r w:rsidRPr="00E030C1">
        <w:rPr>
          <w:rFonts w:eastAsia="Times New Roman" w:cs="Open Sans"/>
          <w:i/>
          <w:iCs/>
          <w:color w:val="262626"/>
          <w:szCs w:val="32"/>
        </w:rPr>
        <w:t>Part</w:t>
      </w:r>
      <w:r w:rsidRPr="00E030C1">
        <w:rPr>
          <w:rFonts w:eastAsia="Times New Roman" w:cs="Open Sans"/>
          <w:color w:val="262626"/>
          <w:szCs w:val="32"/>
        </w:rPr>
        <w:t> </w:t>
      </w:r>
      <w:r w:rsidRPr="00E030C1">
        <w:rPr>
          <w:rFonts w:eastAsia="Times New Roman" w:cs="Open Sans"/>
          <w:i/>
          <w:iCs/>
          <w:color w:val="262626"/>
          <w:szCs w:val="32"/>
        </w:rPr>
        <w:t>re</w:t>
      </w:r>
      <w:r w:rsidRPr="00E030C1">
        <w:rPr>
          <w:rFonts w:ascii="Arial" w:eastAsia="Times New Roman" w:hAnsi="Arial" w:cs="Arial"/>
          <w:color w:val="262626"/>
          <w:szCs w:val="32"/>
        </w:rPr>
        <w:t>ˊ</w:t>
      </w:r>
      <w:r w:rsidRPr="00E030C1">
        <w:rPr>
          <w:rFonts w:eastAsia="Times New Roman" w:cs="Open Sans"/>
          <w:i/>
          <w:iCs/>
          <w:color w:val="262626"/>
          <w:szCs w:val="32"/>
        </w:rPr>
        <w:t>servataire</w:t>
      </w:r>
      <w:r w:rsidRPr="00E030C1">
        <w:rPr>
          <w:rFonts w:eastAsia="Times New Roman" w:cs="Open Sans"/>
          <w:color w:val="262626"/>
          <w:szCs w:val="32"/>
        </w:rPr>
        <w:t>=100000€−66666€=33334€</w:t>
      </w:r>
    </w:p>
    <w:p w14:paraId="3D0B4B77" w14:textId="77777777" w:rsidR="00E030C1" w:rsidRDefault="00E030C1" w:rsidP="00E030C1">
      <w:pPr>
        <w:shd w:val="clear" w:color="auto" w:fill="FFFFFF"/>
        <w:spacing w:after="0" w:line="420" w:lineRule="atLeast"/>
        <w:jc w:val="left"/>
        <w:rPr>
          <w:rFonts w:eastAsia="Times New Roman" w:cs="Open Sans"/>
          <w:color w:val="262626"/>
          <w:szCs w:val="32"/>
        </w:rPr>
      </w:pPr>
      <w:r w:rsidRPr="00E030C1">
        <w:rPr>
          <w:rFonts w:eastAsia="Times New Roman" w:cs="Open Sans"/>
          <w:color w:val="262626"/>
          <w:szCs w:val="32"/>
        </w:rPr>
        <w:t>La QDO permet ainsi au défunt de faire des choix concernant la répartition de ses biens, tout en respectant les droits des héritiers réservataires.</w:t>
      </w:r>
    </w:p>
    <w:p w14:paraId="5B750F72" w14:textId="34DE5D29" w:rsidR="00DA3EC8" w:rsidRDefault="00DA3EC8">
      <w:pPr>
        <w:jc w:val="left"/>
        <w:rPr>
          <w:rFonts w:cs="Open Sans"/>
          <w:kern w:val="2"/>
          <w:szCs w:val="36"/>
          <w:bdr w:val="none" w:sz="0" w:space="0" w:color="auto" w:frame="1"/>
          <w14:ligatures w14:val="standardContextual"/>
        </w:rPr>
      </w:pPr>
      <w:r>
        <w:br w:type="page"/>
      </w:r>
    </w:p>
    <w:p w14:paraId="5C6AB304" w14:textId="51D1F738" w:rsidR="00DF3B8E" w:rsidRPr="00DF3B8E" w:rsidRDefault="00DF3B8E" w:rsidP="00DF3B8E">
      <w:pPr>
        <w:rPr>
          <w:b/>
          <w:bCs/>
          <w:sz w:val="48"/>
          <w:szCs w:val="48"/>
          <w:u w:val="single"/>
        </w:rPr>
      </w:pPr>
      <w:r w:rsidRPr="00DF3B8E">
        <w:rPr>
          <w:b/>
          <w:bCs/>
          <w:sz w:val="48"/>
          <w:szCs w:val="48"/>
          <w:u w:val="single"/>
        </w:rPr>
        <w:lastRenderedPageBreak/>
        <w:t>Le droit de retour légal des parents</w:t>
      </w:r>
    </w:p>
    <w:p w14:paraId="39A24328" w14:textId="77777777" w:rsidR="00DF3B8E" w:rsidRDefault="00DF3B8E" w:rsidP="00DF3B8E">
      <w:pPr>
        <w:shd w:val="clear" w:color="auto" w:fill="FFFFFF"/>
        <w:spacing w:after="300" w:line="420" w:lineRule="atLeast"/>
        <w:jc w:val="left"/>
        <w:rPr>
          <w:rFonts w:eastAsia="Times New Roman" w:cs="Open Sans"/>
          <w:color w:val="262626"/>
          <w:szCs w:val="32"/>
        </w:rPr>
      </w:pPr>
    </w:p>
    <w:p w14:paraId="62C61CE0" w14:textId="79291F4A" w:rsidR="00DF3B8E" w:rsidRPr="00DF3B8E" w:rsidRDefault="00DF3B8E" w:rsidP="00DF3B8E">
      <w:pPr>
        <w:shd w:val="clear" w:color="auto" w:fill="FFFFFF"/>
        <w:spacing w:after="300" w:line="420" w:lineRule="atLeast"/>
        <w:jc w:val="left"/>
        <w:rPr>
          <w:rFonts w:eastAsia="Times New Roman" w:cs="Open Sans"/>
          <w:color w:val="262626"/>
          <w:szCs w:val="32"/>
        </w:rPr>
      </w:pPr>
      <w:r w:rsidRPr="00DF3B8E">
        <w:rPr>
          <w:rFonts w:eastAsia="Times New Roman" w:cs="Open Sans"/>
          <w:color w:val="262626"/>
          <w:szCs w:val="32"/>
        </w:rPr>
        <w:t xml:space="preserve">Le </w:t>
      </w:r>
      <w:r w:rsidRPr="00DF3B8E">
        <w:rPr>
          <w:rFonts w:eastAsia="Times New Roman" w:cs="Open Sans"/>
          <w:b/>
          <w:bCs/>
          <w:color w:val="262626"/>
          <w:szCs w:val="32"/>
        </w:rPr>
        <w:t>droit de retour légal des parents</w:t>
      </w:r>
      <w:r w:rsidRPr="00DF3B8E">
        <w:rPr>
          <w:rFonts w:eastAsia="Times New Roman" w:cs="Open Sans"/>
          <w:color w:val="262626"/>
          <w:szCs w:val="32"/>
        </w:rPr>
        <w:t xml:space="preserve"> est un concept juridique qui s'applique dans le cadre des successions, notamment en matière de donation. Ce droit permet aux parents de récupérer certains biens donnés à leurs enfants en cas de décès de ces derniers, sous certaines conditions.</w:t>
      </w:r>
    </w:p>
    <w:p w14:paraId="654EA2AD" w14:textId="77777777" w:rsidR="00DF3B8E" w:rsidRPr="005E63C5" w:rsidRDefault="00DF3B8E" w:rsidP="005E63C5">
      <w:pPr>
        <w:rPr>
          <w:b/>
          <w:bCs/>
          <w:szCs w:val="32"/>
        </w:rPr>
      </w:pPr>
      <w:r w:rsidRPr="005E63C5">
        <w:rPr>
          <w:b/>
          <w:bCs/>
          <w:szCs w:val="32"/>
        </w:rPr>
        <w:t>Détails sur le Droit de Retour Légal :</w:t>
      </w:r>
    </w:p>
    <w:p w14:paraId="14C3B6DE" w14:textId="77777777" w:rsidR="00DF3B8E" w:rsidRPr="00DF3B8E" w:rsidRDefault="00DF3B8E" w:rsidP="00DF3B8E">
      <w:pPr>
        <w:numPr>
          <w:ilvl w:val="0"/>
          <w:numId w:val="16"/>
        </w:numPr>
        <w:shd w:val="clear" w:color="auto" w:fill="FFFFFF"/>
        <w:spacing w:before="240" w:after="0" w:line="420" w:lineRule="atLeast"/>
        <w:jc w:val="left"/>
        <w:rPr>
          <w:rFonts w:eastAsia="Times New Roman" w:cs="Open Sans"/>
          <w:color w:val="262626"/>
          <w:szCs w:val="32"/>
        </w:rPr>
      </w:pPr>
      <w:r w:rsidRPr="00DF3B8E">
        <w:rPr>
          <w:rFonts w:eastAsia="Times New Roman" w:cs="Open Sans"/>
          <w:b/>
          <w:bCs/>
          <w:color w:val="262626"/>
          <w:szCs w:val="32"/>
        </w:rPr>
        <w:t>Définition</w:t>
      </w:r>
      <w:r w:rsidRPr="00DF3B8E">
        <w:rPr>
          <w:rFonts w:eastAsia="Times New Roman" w:cs="Open Sans"/>
          <w:color w:val="262626"/>
          <w:szCs w:val="32"/>
        </w:rPr>
        <w:t xml:space="preserve"> : Le droit de retour légal permet aux parents de récupérer les biens qu'ils ont donnés à leurs enfants si ces derniers décèdent avant eux, sans avoir eu d'enfants (descendants).</w:t>
      </w:r>
    </w:p>
    <w:p w14:paraId="334B2B54" w14:textId="77777777" w:rsidR="00DF3B8E" w:rsidRPr="00DF3B8E" w:rsidRDefault="00DF3B8E" w:rsidP="00DF3B8E">
      <w:pPr>
        <w:numPr>
          <w:ilvl w:val="0"/>
          <w:numId w:val="16"/>
        </w:numPr>
        <w:shd w:val="clear" w:color="auto" w:fill="FFFFFF"/>
        <w:spacing w:before="240" w:after="0" w:line="420" w:lineRule="atLeast"/>
        <w:jc w:val="left"/>
        <w:rPr>
          <w:rFonts w:eastAsia="Times New Roman" w:cs="Open Sans"/>
          <w:color w:val="262626"/>
          <w:szCs w:val="32"/>
          <w:lang w:val="en-US"/>
        </w:rPr>
      </w:pPr>
      <w:proofErr w:type="gramStart"/>
      <w:r w:rsidRPr="00DF3B8E">
        <w:rPr>
          <w:rFonts w:eastAsia="Times New Roman" w:cs="Open Sans"/>
          <w:b/>
          <w:bCs/>
          <w:color w:val="262626"/>
          <w:szCs w:val="32"/>
          <w:lang w:val="en-US"/>
        </w:rPr>
        <w:t>Conditions</w:t>
      </w:r>
      <w:r w:rsidRPr="00DF3B8E">
        <w:rPr>
          <w:rFonts w:eastAsia="Times New Roman" w:cs="Open Sans"/>
          <w:color w:val="262626"/>
          <w:szCs w:val="32"/>
          <w:lang w:val="en-US"/>
        </w:rPr>
        <w:t xml:space="preserve"> :</w:t>
      </w:r>
      <w:proofErr w:type="gramEnd"/>
    </w:p>
    <w:p w14:paraId="65CA16B2" w14:textId="77777777" w:rsidR="00DF3B8E" w:rsidRPr="00DF3B8E" w:rsidRDefault="00DF3B8E" w:rsidP="00DF3B8E">
      <w:pPr>
        <w:numPr>
          <w:ilvl w:val="1"/>
          <w:numId w:val="16"/>
        </w:numPr>
        <w:shd w:val="clear" w:color="auto" w:fill="FFFFFF"/>
        <w:spacing w:before="120" w:after="120" w:line="240" w:lineRule="auto"/>
        <w:jc w:val="left"/>
        <w:rPr>
          <w:rFonts w:eastAsia="Times New Roman" w:cs="Open Sans"/>
          <w:color w:val="262626"/>
          <w:szCs w:val="32"/>
        </w:rPr>
      </w:pPr>
      <w:r w:rsidRPr="00DF3B8E">
        <w:rPr>
          <w:rFonts w:eastAsia="Times New Roman" w:cs="Open Sans"/>
          <w:color w:val="262626"/>
          <w:szCs w:val="32"/>
        </w:rPr>
        <w:t>Le droit de retour s'applique uniquement si le bien a été donné sans condition de retour.</w:t>
      </w:r>
    </w:p>
    <w:p w14:paraId="14D59B0F" w14:textId="77777777" w:rsidR="00DF3B8E" w:rsidRPr="00DF3B8E" w:rsidRDefault="00DF3B8E" w:rsidP="00DF3B8E">
      <w:pPr>
        <w:numPr>
          <w:ilvl w:val="1"/>
          <w:numId w:val="16"/>
        </w:numPr>
        <w:shd w:val="clear" w:color="auto" w:fill="FFFFFF"/>
        <w:spacing w:before="120" w:after="120" w:line="240" w:lineRule="auto"/>
        <w:jc w:val="left"/>
        <w:rPr>
          <w:rFonts w:eastAsia="Times New Roman" w:cs="Open Sans"/>
          <w:color w:val="262626"/>
          <w:szCs w:val="32"/>
        </w:rPr>
      </w:pPr>
      <w:r w:rsidRPr="00DF3B8E">
        <w:rPr>
          <w:rFonts w:eastAsia="Times New Roman" w:cs="Open Sans"/>
          <w:color w:val="262626"/>
          <w:szCs w:val="32"/>
        </w:rPr>
        <w:t>Les parents doivent survivre à leur enfant pour exercer ce droit.</w:t>
      </w:r>
    </w:p>
    <w:p w14:paraId="61AA539B" w14:textId="77777777" w:rsidR="00DF3B8E" w:rsidRPr="00DF3B8E" w:rsidRDefault="00DF3B8E" w:rsidP="00DF3B8E">
      <w:pPr>
        <w:numPr>
          <w:ilvl w:val="1"/>
          <w:numId w:val="16"/>
        </w:numPr>
        <w:shd w:val="clear" w:color="auto" w:fill="FFFFFF"/>
        <w:spacing w:before="120" w:after="120" w:line="240" w:lineRule="auto"/>
        <w:jc w:val="left"/>
        <w:rPr>
          <w:rFonts w:eastAsia="Times New Roman" w:cs="Open Sans"/>
          <w:color w:val="262626"/>
          <w:szCs w:val="32"/>
        </w:rPr>
      </w:pPr>
      <w:r w:rsidRPr="00DF3B8E">
        <w:rPr>
          <w:rFonts w:eastAsia="Times New Roman" w:cs="Open Sans"/>
          <w:color w:val="262626"/>
          <w:szCs w:val="32"/>
        </w:rPr>
        <w:t>Si l'enfant décédé a des descendants (petits-enfants des donateurs), le droit de retour ne s'applique pas, et les biens reviennent à ces descendants.</w:t>
      </w:r>
    </w:p>
    <w:p w14:paraId="5E56543F" w14:textId="77777777" w:rsidR="00DF3B8E" w:rsidRPr="00DF3B8E" w:rsidRDefault="00DF3B8E" w:rsidP="00DF3B8E">
      <w:pPr>
        <w:numPr>
          <w:ilvl w:val="0"/>
          <w:numId w:val="16"/>
        </w:numPr>
        <w:shd w:val="clear" w:color="auto" w:fill="FFFFFF"/>
        <w:spacing w:before="240" w:after="0" w:line="420" w:lineRule="atLeast"/>
        <w:jc w:val="left"/>
        <w:rPr>
          <w:rFonts w:eastAsia="Times New Roman" w:cs="Open Sans"/>
          <w:color w:val="262626"/>
          <w:szCs w:val="32"/>
        </w:rPr>
      </w:pPr>
      <w:r w:rsidRPr="00DF3B8E">
        <w:rPr>
          <w:rFonts w:eastAsia="Times New Roman" w:cs="Open Sans"/>
          <w:b/>
          <w:bCs/>
          <w:color w:val="262626"/>
          <w:szCs w:val="32"/>
        </w:rPr>
        <w:t>Biens concernés</w:t>
      </w:r>
      <w:r w:rsidRPr="00DF3B8E">
        <w:rPr>
          <w:rFonts w:eastAsia="Times New Roman" w:cs="Open Sans"/>
          <w:color w:val="262626"/>
          <w:szCs w:val="32"/>
        </w:rPr>
        <w:t xml:space="preserve"> : Ce droit s'applique généralement aux donations de biens meubles et immeubles, mais il peut également être étendu à d'autres types de biens donnés.</w:t>
      </w:r>
    </w:p>
    <w:p w14:paraId="30EAE727" w14:textId="77777777" w:rsidR="00DF3B8E" w:rsidRPr="00DF3B8E" w:rsidRDefault="00DF3B8E" w:rsidP="00DF3B8E">
      <w:pPr>
        <w:numPr>
          <w:ilvl w:val="0"/>
          <w:numId w:val="16"/>
        </w:numPr>
        <w:shd w:val="clear" w:color="auto" w:fill="FFFFFF"/>
        <w:spacing w:before="240" w:after="0" w:line="420" w:lineRule="atLeast"/>
        <w:jc w:val="left"/>
        <w:rPr>
          <w:rFonts w:eastAsia="Times New Roman" w:cs="Open Sans"/>
          <w:color w:val="262626"/>
          <w:szCs w:val="32"/>
        </w:rPr>
      </w:pPr>
      <w:r w:rsidRPr="00DF3B8E">
        <w:rPr>
          <w:rFonts w:eastAsia="Times New Roman" w:cs="Open Sans"/>
          <w:b/>
          <w:bCs/>
          <w:color w:val="262626"/>
          <w:szCs w:val="32"/>
        </w:rPr>
        <w:t>Exercice du droit</w:t>
      </w:r>
      <w:r w:rsidRPr="00DF3B8E">
        <w:rPr>
          <w:rFonts w:eastAsia="Times New Roman" w:cs="Open Sans"/>
          <w:color w:val="262626"/>
          <w:szCs w:val="32"/>
        </w:rPr>
        <w:t xml:space="preserve"> : Pour exercer ce droit, les parents doivent généralement faire une déclaration auprès du notaire ou du tribunal compétent, selon les circonstances.</w:t>
      </w:r>
    </w:p>
    <w:p w14:paraId="3EB29D15" w14:textId="77777777" w:rsidR="00DF3B8E" w:rsidRPr="00DF3B8E" w:rsidRDefault="00DF3B8E" w:rsidP="005E63C5">
      <w:pPr>
        <w:rPr>
          <w:b/>
          <w:bCs/>
          <w:szCs w:val="32"/>
          <w:lang w:val="en-US"/>
        </w:rPr>
      </w:pPr>
      <w:proofErr w:type="spellStart"/>
      <w:proofErr w:type="gramStart"/>
      <w:r w:rsidRPr="00DF3B8E">
        <w:rPr>
          <w:b/>
          <w:bCs/>
          <w:szCs w:val="32"/>
          <w:lang w:val="en-US"/>
        </w:rPr>
        <w:t>Exemple</w:t>
      </w:r>
      <w:proofErr w:type="spellEnd"/>
      <w:r w:rsidRPr="00DF3B8E">
        <w:rPr>
          <w:b/>
          <w:bCs/>
          <w:szCs w:val="32"/>
          <w:lang w:val="en-US"/>
        </w:rPr>
        <w:t xml:space="preserve"> :</w:t>
      </w:r>
      <w:proofErr w:type="gramEnd"/>
    </w:p>
    <w:p w14:paraId="65410744" w14:textId="77777777" w:rsidR="00DF3B8E" w:rsidRPr="00DF3B8E" w:rsidRDefault="00DF3B8E" w:rsidP="00DF3B8E">
      <w:pPr>
        <w:numPr>
          <w:ilvl w:val="0"/>
          <w:numId w:val="17"/>
        </w:numPr>
        <w:shd w:val="clear" w:color="auto" w:fill="FFFFFF"/>
        <w:spacing w:before="120" w:after="120" w:line="240" w:lineRule="auto"/>
        <w:jc w:val="left"/>
        <w:rPr>
          <w:rFonts w:eastAsia="Times New Roman" w:cs="Open Sans"/>
          <w:color w:val="262626"/>
          <w:szCs w:val="32"/>
        </w:rPr>
      </w:pPr>
      <w:r w:rsidRPr="00DF3B8E">
        <w:rPr>
          <w:rFonts w:eastAsia="Times New Roman" w:cs="Open Sans"/>
          <w:b/>
          <w:bCs/>
          <w:color w:val="262626"/>
          <w:szCs w:val="32"/>
        </w:rPr>
        <w:t>Donation d'un bien</w:t>
      </w:r>
      <w:r w:rsidRPr="00DF3B8E">
        <w:rPr>
          <w:rFonts w:eastAsia="Times New Roman" w:cs="Open Sans"/>
          <w:color w:val="262626"/>
          <w:szCs w:val="32"/>
        </w:rPr>
        <w:t> : Un parent donne une maison à son enfant.</w:t>
      </w:r>
    </w:p>
    <w:p w14:paraId="0AC0B757" w14:textId="77777777" w:rsidR="00DF3B8E" w:rsidRPr="00DF3B8E" w:rsidRDefault="00DF3B8E" w:rsidP="00DF3B8E">
      <w:pPr>
        <w:numPr>
          <w:ilvl w:val="0"/>
          <w:numId w:val="17"/>
        </w:numPr>
        <w:shd w:val="clear" w:color="auto" w:fill="FFFFFF"/>
        <w:spacing w:before="120" w:after="120" w:line="240" w:lineRule="auto"/>
        <w:jc w:val="left"/>
        <w:rPr>
          <w:rFonts w:eastAsia="Times New Roman" w:cs="Open Sans"/>
          <w:color w:val="262626"/>
          <w:szCs w:val="32"/>
        </w:rPr>
      </w:pPr>
      <w:r w:rsidRPr="00DF3B8E">
        <w:rPr>
          <w:rFonts w:eastAsia="Times New Roman" w:cs="Open Sans"/>
          <w:b/>
          <w:bCs/>
          <w:color w:val="262626"/>
          <w:szCs w:val="32"/>
        </w:rPr>
        <w:t>Décès de l'enfant</w:t>
      </w:r>
      <w:r w:rsidRPr="00DF3B8E">
        <w:rPr>
          <w:rFonts w:eastAsia="Times New Roman" w:cs="Open Sans"/>
          <w:color w:val="262626"/>
          <w:szCs w:val="32"/>
        </w:rPr>
        <w:t> : Si l'enfant décède sans enfants, le parent peut revendiquer la maison grâce au droit de retour légal.</w:t>
      </w:r>
    </w:p>
    <w:p w14:paraId="1E462CD8" w14:textId="77777777" w:rsidR="00DF3B8E" w:rsidRPr="00DF3B8E" w:rsidRDefault="00DF3B8E" w:rsidP="00DF3B8E">
      <w:pPr>
        <w:numPr>
          <w:ilvl w:val="0"/>
          <w:numId w:val="17"/>
        </w:numPr>
        <w:shd w:val="clear" w:color="auto" w:fill="FFFFFF"/>
        <w:spacing w:before="120" w:after="120" w:line="240" w:lineRule="auto"/>
        <w:jc w:val="left"/>
        <w:rPr>
          <w:rFonts w:eastAsia="Times New Roman" w:cs="Open Sans"/>
          <w:color w:val="262626"/>
          <w:szCs w:val="32"/>
        </w:rPr>
      </w:pPr>
      <w:r w:rsidRPr="00DF3B8E">
        <w:rPr>
          <w:rFonts w:eastAsia="Times New Roman" w:cs="Open Sans"/>
          <w:b/>
          <w:bCs/>
          <w:color w:val="262626"/>
          <w:szCs w:val="32"/>
        </w:rPr>
        <w:t>En cas d'enfants</w:t>
      </w:r>
      <w:r w:rsidRPr="00DF3B8E">
        <w:rPr>
          <w:rFonts w:eastAsia="Times New Roman" w:cs="Open Sans"/>
          <w:color w:val="262626"/>
          <w:szCs w:val="32"/>
        </w:rPr>
        <w:t> : Si l'enfant avait des enfants, la maison irait à ces petits-enfants et non aux parents.</w:t>
      </w:r>
    </w:p>
    <w:p w14:paraId="053322B4" w14:textId="77777777" w:rsidR="00DF3B8E" w:rsidRPr="00581F63" w:rsidRDefault="00DF3B8E" w:rsidP="005E63C5">
      <w:pPr>
        <w:rPr>
          <w:b/>
          <w:bCs/>
          <w:szCs w:val="32"/>
        </w:rPr>
      </w:pPr>
      <w:r w:rsidRPr="00581F63">
        <w:rPr>
          <w:b/>
          <w:bCs/>
          <w:szCs w:val="32"/>
        </w:rPr>
        <w:t>Importance :</w:t>
      </w:r>
    </w:p>
    <w:p w14:paraId="15C70AC4" w14:textId="77777777" w:rsidR="00DF3B8E" w:rsidRDefault="00DF3B8E" w:rsidP="00DF3B8E">
      <w:pPr>
        <w:shd w:val="clear" w:color="auto" w:fill="FFFFFF"/>
        <w:spacing w:after="0" w:line="420" w:lineRule="atLeast"/>
        <w:jc w:val="left"/>
        <w:rPr>
          <w:rFonts w:eastAsia="Times New Roman" w:cs="Open Sans"/>
          <w:color w:val="262626"/>
          <w:szCs w:val="32"/>
        </w:rPr>
      </w:pPr>
      <w:r w:rsidRPr="00DF3B8E">
        <w:rPr>
          <w:rFonts w:eastAsia="Times New Roman" w:cs="Open Sans"/>
          <w:color w:val="262626"/>
          <w:szCs w:val="32"/>
        </w:rPr>
        <w:lastRenderedPageBreak/>
        <w:t>Le droit de retour légal est une protection pour les parents, leur permettant de récupérer des biens qu'ils ont donnés, tout en respectant la volonté de transmission des biens au sein de la famille. Cela souligne également l'importance de la planification successorale pour éviter des conflits potentiels entre héritiers.</w:t>
      </w:r>
    </w:p>
    <w:p w14:paraId="2131A0FD" w14:textId="77777777" w:rsidR="005E63C5" w:rsidRDefault="005E63C5" w:rsidP="005E63C5">
      <w:pPr>
        <w:pStyle w:val="CGPC-elearning"/>
        <w:rPr>
          <w:lang w:eastAsia="en-US"/>
        </w:rPr>
      </w:pPr>
    </w:p>
    <w:p w14:paraId="128A34A6" w14:textId="3B9797F4" w:rsidR="005E63C5" w:rsidRPr="00DF3B8E" w:rsidRDefault="00171443" w:rsidP="005E63C5">
      <w:pPr>
        <w:pStyle w:val="CGPC-elearning"/>
        <w:rPr>
          <w:lang w:eastAsia="en-US"/>
        </w:rPr>
      </w:pPr>
      <w:r>
        <w:rPr>
          <w:noProof/>
          <w:bdr w:val="none" w:sz="0" w:space="0" w:color="auto"/>
          <w:lang w:eastAsia="en-US"/>
        </w:rPr>
        <mc:AlternateContent>
          <mc:Choice Requires="wps">
            <w:drawing>
              <wp:anchor distT="0" distB="0" distL="114300" distR="114300" simplePos="0" relativeHeight="251671552" behindDoc="0" locked="0" layoutInCell="1" allowOverlap="1" wp14:anchorId="41AD41BC" wp14:editId="605104DD">
                <wp:simplePos x="0" y="0"/>
                <wp:positionH relativeFrom="column">
                  <wp:posOffset>0</wp:posOffset>
                </wp:positionH>
                <wp:positionV relativeFrom="paragraph">
                  <wp:posOffset>94922</wp:posOffset>
                </wp:positionV>
                <wp:extent cx="13384924" cy="0"/>
                <wp:effectExtent l="0" t="0" r="0" b="0"/>
                <wp:wrapNone/>
                <wp:docPr id="1869476882" name="Connecteur droit 8"/>
                <wp:cNvGraphicFramePr/>
                <a:graphic xmlns:a="http://schemas.openxmlformats.org/drawingml/2006/main">
                  <a:graphicData uri="http://schemas.microsoft.com/office/word/2010/wordprocessingShape">
                    <wps:wsp>
                      <wps:cNvCnPr/>
                      <wps:spPr>
                        <a:xfrm>
                          <a:off x="0" y="0"/>
                          <a:ext cx="133849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D3E40" id="Connecteur droit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7.45pt" to="1053.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" strokecolor="#4472c4 [3204]" strokeweight=".5pt">
                <v:stroke joinstyle="miter"/>
              </v:line>
            </w:pict>
          </mc:Fallback>
        </mc:AlternateContent>
      </w:r>
    </w:p>
    <w:p w14:paraId="4DA7AF26" w14:textId="77777777" w:rsidR="00171443" w:rsidRPr="00171443" w:rsidRDefault="00171443" w:rsidP="00171443">
      <w:pPr>
        <w:shd w:val="clear" w:color="auto" w:fill="FFFFFF"/>
        <w:spacing w:after="300" w:line="420" w:lineRule="atLeast"/>
        <w:jc w:val="left"/>
        <w:rPr>
          <w:rFonts w:eastAsia="Times New Roman" w:cs="Open Sans"/>
          <w:color w:val="262626"/>
          <w:szCs w:val="32"/>
        </w:rPr>
      </w:pPr>
      <w:r w:rsidRPr="00171443">
        <w:rPr>
          <w:rFonts w:eastAsia="Times New Roman" w:cs="Open Sans"/>
          <w:color w:val="262626"/>
          <w:szCs w:val="32"/>
        </w:rPr>
        <w:t xml:space="preserve">La </w:t>
      </w:r>
      <w:r w:rsidRPr="00171443">
        <w:rPr>
          <w:rFonts w:eastAsia="Times New Roman" w:cs="Open Sans"/>
          <w:b/>
          <w:bCs/>
          <w:color w:val="262626"/>
          <w:szCs w:val="32"/>
        </w:rPr>
        <w:t>donation-partage</w:t>
      </w:r>
      <w:r w:rsidRPr="00171443">
        <w:rPr>
          <w:rFonts w:eastAsia="Times New Roman" w:cs="Open Sans"/>
          <w:color w:val="262626"/>
          <w:szCs w:val="32"/>
        </w:rPr>
        <w:t xml:space="preserve"> est un acte juridique permettant à une personne de transmettre de son vivant tout ou partie de son patrimoine à ses héritiers, tout en organisant la répartition de ce patrimoine. Ce mécanisme est souvent utilisé pour anticiper la succession et éviter les conflits entre héritiers.</w:t>
      </w:r>
    </w:p>
    <w:p w14:paraId="34F7301A" w14:textId="77777777" w:rsidR="00171443" w:rsidRPr="00171443" w:rsidRDefault="00171443" w:rsidP="00171443">
      <w:pPr>
        <w:rPr>
          <w:b/>
          <w:bCs/>
          <w:szCs w:val="32"/>
        </w:rPr>
      </w:pPr>
      <w:r w:rsidRPr="00171443">
        <w:rPr>
          <w:b/>
          <w:bCs/>
          <w:szCs w:val="32"/>
        </w:rPr>
        <w:t>Détails sur la Donation-Partage :</w:t>
      </w:r>
    </w:p>
    <w:p w14:paraId="09FD337C" w14:textId="77777777" w:rsidR="00171443" w:rsidRPr="00171443" w:rsidRDefault="00171443" w:rsidP="00171443">
      <w:pPr>
        <w:numPr>
          <w:ilvl w:val="0"/>
          <w:numId w:val="19"/>
        </w:numPr>
        <w:shd w:val="clear" w:color="auto" w:fill="FFFFFF"/>
        <w:spacing w:before="240" w:after="0" w:line="420" w:lineRule="atLeast"/>
        <w:jc w:val="left"/>
        <w:rPr>
          <w:rFonts w:eastAsia="Times New Roman" w:cs="Open Sans"/>
          <w:color w:val="262626"/>
          <w:szCs w:val="32"/>
        </w:rPr>
      </w:pPr>
      <w:r w:rsidRPr="00171443">
        <w:rPr>
          <w:rFonts w:eastAsia="Times New Roman" w:cs="Open Sans"/>
          <w:b/>
          <w:bCs/>
          <w:color w:val="262626"/>
          <w:szCs w:val="32"/>
        </w:rPr>
        <w:t>Définition</w:t>
      </w:r>
      <w:r w:rsidRPr="00171443">
        <w:rPr>
          <w:rFonts w:eastAsia="Times New Roman" w:cs="Open Sans"/>
          <w:color w:val="262626"/>
          <w:szCs w:val="32"/>
        </w:rPr>
        <w:t xml:space="preserve"> : La donation-partage est une forme de donation qui permet de partager un patrimoine entre plusieurs bénéficiaires (généralement des enfants) tout en respectant les règles de la réserve héréditaire.</w:t>
      </w:r>
    </w:p>
    <w:p w14:paraId="51ACCDF3" w14:textId="77777777" w:rsidR="00171443" w:rsidRPr="00171443" w:rsidRDefault="00171443" w:rsidP="00171443">
      <w:pPr>
        <w:numPr>
          <w:ilvl w:val="0"/>
          <w:numId w:val="19"/>
        </w:numPr>
        <w:shd w:val="clear" w:color="auto" w:fill="FFFFFF"/>
        <w:spacing w:before="240" w:after="0" w:line="420" w:lineRule="atLeast"/>
        <w:jc w:val="left"/>
        <w:rPr>
          <w:rFonts w:eastAsia="Times New Roman" w:cs="Open Sans"/>
          <w:color w:val="262626"/>
          <w:szCs w:val="32"/>
          <w:lang w:val="en-US"/>
        </w:rPr>
      </w:pPr>
      <w:proofErr w:type="spellStart"/>
      <w:proofErr w:type="gramStart"/>
      <w:r w:rsidRPr="00171443">
        <w:rPr>
          <w:rFonts w:eastAsia="Times New Roman" w:cs="Open Sans"/>
          <w:b/>
          <w:bCs/>
          <w:color w:val="262626"/>
          <w:szCs w:val="32"/>
          <w:lang w:val="en-US"/>
        </w:rPr>
        <w:t>Caractéristiques</w:t>
      </w:r>
      <w:proofErr w:type="spellEnd"/>
      <w:r w:rsidRPr="00171443">
        <w:rPr>
          <w:rFonts w:eastAsia="Times New Roman" w:cs="Open Sans"/>
          <w:color w:val="262626"/>
          <w:szCs w:val="32"/>
          <w:lang w:val="en-US"/>
        </w:rPr>
        <w:t xml:space="preserve"> :</w:t>
      </w:r>
      <w:proofErr w:type="gramEnd"/>
    </w:p>
    <w:p w14:paraId="6D65BC11" w14:textId="77777777" w:rsidR="00171443" w:rsidRPr="00171443" w:rsidRDefault="00171443" w:rsidP="00171443">
      <w:pPr>
        <w:numPr>
          <w:ilvl w:val="1"/>
          <w:numId w:val="19"/>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Anticipation de la succession</w:t>
      </w:r>
      <w:r w:rsidRPr="00171443">
        <w:rPr>
          <w:rFonts w:eastAsia="Times New Roman" w:cs="Open Sans"/>
          <w:color w:val="262626"/>
          <w:szCs w:val="32"/>
        </w:rPr>
        <w:t> : Elle permet au donateur de décider de la répartition de ses biens avant son décès.</w:t>
      </w:r>
    </w:p>
    <w:p w14:paraId="72ECBB61" w14:textId="77777777" w:rsidR="00171443" w:rsidRPr="00171443" w:rsidRDefault="00171443" w:rsidP="00171443">
      <w:pPr>
        <w:numPr>
          <w:ilvl w:val="1"/>
          <w:numId w:val="19"/>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Équité</w:t>
      </w:r>
      <w:r w:rsidRPr="00171443">
        <w:rPr>
          <w:rFonts w:eastAsia="Times New Roman" w:cs="Open Sans"/>
          <w:color w:val="262626"/>
          <w:szCs w:val="32"/>
        </w:rPr>
        <w:t> : Les biens sont évalués et répartis de manière équitable entre les héritiers, ce qui peut aider à prévenir les conflits futurs.</w:t>
      </w:r>
    </w:p>
    <w:p w14:paraId="7EDD64F5" w14:textId="77777777" w:rsidR="00171443" w:rsidRPr="00171443" w:rsidRDefault="00171443" w:rsidP="00171443">
      <w:pPr>
        <w:numPr>
          <w:ilvl w:val="1"/>
          <w:numId w:val="19"/>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Acte notarié</w:t>
      </w:r>
      <w:r w:rsidRPr="00171443">
        <w:rPr>
          <w:rFonts w:eastAsia="Times New Roman" w:cs="Open Sans"/>
          <w:color w:val="262626"/>
          <w:szCs w:val="32"/>
        </w:rPr>
        <w:t> : La donation-partage doit être réalisée par acte notarié, ce qui lui confère une certaine sécurité juridique.</w:t>
      </w:r>
    </w:p>
    <w:p w14:paraId="0E76FA6D" w14:textId="77777777" w:rsidR="00171443" w:rsidRPr="00171443" w:rsidRDefault="00171443" w:rsidP="00171443">
      <w:pPr>
        <w:numPr>
          <w:ilvl w:val="0"/>
          <w:numId w:val="19"/>
        </w:numPr>
        <w:shd w:val="clear" w:color="auto" w:fill="FFFFFF"/>
        <w:spacing w:before="240" w:after="0" w:line="420" w:lineRule="atLeast"/>
        <w:jc w:val="left"/>
        <w:rPr>
          <w:rFonts w:eastAsia="Times New Roman" w:cs="Open Sans"/>
          <w:color w:val="262626"/>
          <w:szCs w:val="32"/>
          <w:lang w:val="en-US"/>
        </w:rPr>
      </w:pPr>
      <w:proofErr w:type="spellStart"/>
      <w:proofErr w:type="gramStart"/>
      <w:r w:rsidRPr="00171443">
        <w:rPr>
          <w:rFonts w:eastAsia="Times New Roman" w:cs="Open Sans"/>
          <w:b/>
          <w:bCs/>
          <w:color w:val="262626"/>
          <w:szCs w:val="32"/>
          <w:lang w:val="en-US"/>
        </w:rPr>
        <w:t>Avantages</w:t>
      </w:r>
      <w:proofErr w:type="spellEnd"/>
      <w:r w:rsidRPr="00171443">
        <w:rPr>
          <w:rFonts w:eastAsia="Times New Roman" w:cs="Open Sans"/>
          <w:color w:val="262626"/>
          <w:szCs w:val="32"/>
          <w:lang w:val="en-US"/>
        </w:rPr>
        <w:t xml:space="preserve"> :</w:t>
      </w:r>
      <w:proofErr w:type="gramEnd"/>
    </w:p>
    <w:p w14:paraId="0571DEF9" w14:textId="77777777" w:rsidR="00171443" w:rsidRPr="00171443" w:rsidRDefault="00171443" w:rsidP="00171443">
      <w:pPr>
        <w:numPr>
          <w:ilvl w:val="1"/>
          <w:numId w:val="19"/>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Réduction des droits de succession</w:t>
      </w:r>
      <w:r w:rsidRPr="00171443">
        <w:rPr>
          <w:rFonts w:eastAsia="Times New Roman" w:cs="Open Sans"/>
          <w:color w:val="262626"/>
          <w:szCs w:val="32"/>
        </w:rPr>
        <w:t> : En faisant une donation-partage, le donateur peut bénéficier d'abattements fiscaux, ce qui réduit le montant des droits de succession à payer lors de son décès.</w:t>
      </w:r>
    </w:p>
    <w:p w14:paraId="7C83B2D9" w14:textId="77777777" w:rsidR="00171443" w:rsidRPr="00171443" w:rsidRDefault="00171443" w:rsidP="00171443">
      <w:pPr>
        <w:numPr>
          <w:ilvl w:val="1"/>
          <w:numId w:val="19"/>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Clarté dans la transmission</w:t>
      </w:r>
      <w:r w:rsidRPr="00171443">
        <w:rPr>
          <w:rFonts w:eastAsia="Times New Roman" w:cs="Open Sans"/>
          <w:color w:val="262626"/>
          <w:szCs w:val="32"/>
        </w:rPr>
        <w:t> : Elle permet de clarifier les intentions du donateur et d'éviter les litiges entre héritiers.</w:t>
      </w:r>
    </w:p>
    <w:p w14:paraId="6371181B" w14:textId="77777777" w:rsidR="00171443" w:rsidRPr="00171443" w:rsidRDefault="00171443" w:rsidP="00171443">
      <w:pPr>
        <w:numPr>
          <w:ilvl w:val="0"/>
          <w:numId w:val="19"/>
        </w:numPr>
        <w:shd w:val="clear" w:color="auto" w:fill="FFFFFF"/>
        <w:spacing w:before="240" w:after="0" w:line="420" w:lineRule="atLeast"/>
        <w:jc w:val="left"/>
        <w:rPr>
          <w:rFonts w:eastAsia="Times New Roman" w:cs="Open Sans"/>
          <w:color w:val="262626"/>
          <w:szCs w:val="32"/>
        </w:rPr>
      </w:pPr>
      <w:r w:rsidRPr="00171443">
        <w:rPr>
          <w:rFonts w:eastAsia="Times New Roman" w:cs="Open Sans"/>
          <w:b/>
          <w:bCs/>
          <w:color w:val="262626"/>
          <w:szCs w:val="32"/>
        </w:rPr>
        <w:t>Réserve héréditaire</w:t>
      </w:r>
      <w:r w:rsidRPr="00171443">
        <w:rPr>
          <w:rFonts w:eastAsia="Times New Roman" w:cs="Open Sans"/>
          <w:color w:val="262626"/>
          <w:szCs w:val="32"/>
        </w:rPr>
        <w:t xml:space="preserve"> : La donation-partage doit respecter la réserve héréditaire, c'est-à-dire que certains héritiers (comme les enfants) doivent recevoir une part minimale de la succession.</w:t>
      </w:r>
    </w:p>
    <w:p w14:paraId="04B6A598" w14:textId="77777777" w:rsidR="00171443" w:rsidRPr="00171443" w:rsidRDefault="00171443" w:rsidP="000B762E">
      <w:pPr>
        <w:rPr>
          <w:b/>
          <w:bCs/>
          <w:szCs w:val="32"/>
          <w:lang w:val="en-US"/>
        </w:rPr>
      </w:pPr>
      <w:proofErr w:type="spellStart"/>
      <w:r w:rsidRPr="00171443">
        <w:rPr>
          <w:b/>
          <w:bCs/>
          <w:szCs w:val="32"/>
          <w:lang w:val="en-US"/>
        </w:rPr>
        <w:t>Exemple</w:t>
      </w:r>
      <w:proofErr w:type="spellEnd"/>
      <w:r w:rsidRPr="00171443">
        <w:rPr>
          <w:b/>
          <w:bCs/>
          <w:szCs w:val="32"/>
          <w:lang w:val="en-US"/>
        </w:rPr>
        <w:t xml:space="preserve"> de Donation-</w:t>
      </w:r>
      <w:proofErr w:type="gramStart"/>
      <w:r w:rsidRPr="00171443">
        <w:rPr>
          <w:b/>
          <w:bCs/>
          <w:szCs w:val="32"/>
          <w:lang w:val="en-US"/>
        </w:rPr>
        <w:t>Partage :</w:t>
      </w:r>
      <w:proofErr w:type="gramEnd"/>
    </w:p>
    <w:p w14:paraId="6DFB6D44" w14:textId="77777777" w:rsidR="00171443" w:rsidRPr="00171443" w:rsidRDefault="00171443" w:rsidP="00171443">
      <w:pPr>
        <w:numPr>
          <w:ilvl w:val="0"/>
          <w:numId w:val="20"/>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Patrimoine</w:t>
      </w:r>
      <w:r w:rsidRPr="00171443">
        <w:rPr>
          <w:rFonts w:eastAsia="Times New Roman" w:cs="Open Sans"/>
          <w:color w:val="262626"/>
          <w:szCs w:val="32"/>
        </w:rPr>
        <w:t> : Un parent possède une maison, un terrain et des économies.</w:t>
      </w:r>
    </w:p>
    <w:p w14:paraId="619BBA9E" w14:textId="77777777" w:rsidR="00171443" w:rsidRPr="00171443" w:rsidRDefault="00171443" w:rsidP="00171443">
      <w:pPr>
        <w:numPr>
          <w:ilvl w:val="0"/>
          <w:numId w:val="20"/>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t>Bénéficiaires</w:t>
      </w:r>
      <w:r w:rsidRPr="00171443">
        <w:rPr>
          <w:rFonts w:eastAsia="Times New Roman" w:cs="Open Sans"/>
          <w:color w:val="262626"/>
          <w:szCs w:val="32"/>
        </w:rPr>
        <w:t> : Le parent souhaite partager ces biens entre ses deux enfants.</w:t>
      </w:r>
    </w:p>
    <w:p w14:paraId="2E533569" w14:textId="77777777" w:rsidR="00171443" w:rsidRPr="00171443" w:rsidRDefault="00171443" w:rsidP="00171443">
      <w:pPr>
        <w:numPr>
          <w:ilvl w:val="0"/>
          <w:numId w:val="20"/>
        </w:numPr>
        <w:shd w:val="clear" w:color="auto" w:fill="FFFFFF"/>
        <w:spacing w:before="120" w:after="120" w:line="240" w:lineRule="auto"/>
        <w:jc w:val="left"/>
        <w:rPr>
          <w:rFonts w:eastAsia="Times New Roman" w:cs="Open Sans"/>
          <w:color w:val="262626"/>
          <w:szCs w:val="32"/>
        </w:rPr>
      </w:pPr>
      <w:r w:rsidRPr="00171443">
        <w:rPr>
          <w:rFonts w:eastAsia="Times New Roman" w:cs="Open Sans"/>
          <w:b/>
          <w:bCs/>
          <w:color w:val="262626"/>
          <w:szCs w:val="32"/>
        </w:rPr>
        <w:lastRenderedPageBreak/>
        <w:t>Réalisation</w:t>
      </w:r>
      <w:r w:rsidRPr="00171443">
        <w:rPr>
          <w:rFonts w:eastAsia="Times New Roman" w:cs="Open Sans"/>
          <w:color w:val="262626"/>
          <w:szCs w:val="32"/>
        </w:rPr>
        <w:t> : Par acte notarié, il décide de donner la maison à l'un et le terrain et les économies à l'autre, tout en s'assurant que la valeur totale est équitablement répartie.</w:t>
      </w:r>
    </w:p>
    <w:p w14:paraId="4934DA35" w14:textId="77777777" w:rsidR="00171443" w:rsidRPr="00581F63" w:rsidRDefault="00171443" w:rsidP="000B762E">
      <w:pPr>
        <w:rPr>
          <w:b/>
          <w:bCs/>
          <w:szCs w:val="32"/>
        </w:rPr>
      </w:pPr>
      <w:r w:rsidRPr="00581F63">
        <w:rPr>
          <w:b/>
          <w:bCs/>
          <w:szCs w:val="32"/>
        </w:rPr>
        <w:t>Conclusion :</w:t>
      </w:r>
    </w:p>
    <w:p w14:paraId="0BA3EDA9" w14:textId="77777777" w:rsidR="00171443" w:rsidRDefault="00171443" w:rsidP="00171443">
      <w:pPr>
        <w:shd w:val="clear" w:color="auto" w:fill="FFFFFF"/>
        <w:spacing w:after="0" w:line="420" w:lineRule="atLeast"/>
        <w:jc w:val="left"/>
        <w:rPr>
          <w:rFonts w:eastAsia="Times New Roman" w:cs="Open Sans"/>
          <w:color w:val="262626"/>
          <w:szCs w:val="32"/>
        </w:rPr>
      </w:pPr>
      <w:r w:rsidRPr="00171443">
        <w:rPr>
          <w:rFonts w:eastAsia="Times New Roman" w:cs="Open Sans"/>
          <w:color w:val="262626"/>
          <w:szCs w:val="32"/>
        </w:rPr>
        <w:t>La donation-partage est une méthode efficace pour organiser la transmission de son patrimoine, permettant de réduire les tensions familiales et de planifier sa succession de manière optimale. Il est conseillé de consulter un notaire pour bien comprendre les implications fiscales et juridiques de cet acte.</w:t>
      </w:r>
    </w:p>
    <w:p w14:paraId="6872B4E5" w14:textId="77777777" w:rsidR="000B762E" w:rsidRDefault="000B762E" w:rsidP="000B762E">
      <w:pPr>
        <w:pStyle w:val="CGPC-elearning"/>
        <w:rPr>
          <w:lang w:eastAsia="en-US"/>
        </w:rPr>
      </w:pPr>
    </w:p>
    <w:p w14:paraId="7DEC995E" w14:textId="39A035D9" w:rsidR="000B762E" w:rsidRPr="00171443" w:rsidRDefault="005B21EA" w:rsidP="000B762E">
      <w:pPr>
        <w:pStyle w:val="CGPC-elearning"/>
        <w:rPr>
          <w:lang w:eastAsia="en-US"/>
        </w:rPr>
      </w:pPr>
      <w:r>
        <w:rPr>
          <w:noProof/>
          <w:bdr w:val="none" w:sz="0" w:space="0" w:color="auto"/>
          <w:lang w:eastAsia="en-US"/>
        </w:rPr>
        <mc:AlternateContent>
          <mc:Choice Requires="wps">
            <w:drawing>
              <wp:anchor distT="0" distB="0" distL="114300" distR="114300" simplePos="0" relativeHeight="251672576" behindDoc="0" locked="0" layoutInCell="1" allowOverlap="1" wp14:anchorId="523E8DC3" wp14:editId="74A9D97F">
                <wp:simplePos x="0" y="0"/>
                <wp:positionH relativeFrom="column">
                  <wp:posOffset>-1</wp:posOffset>
                </wp:positionH>
                <wp:positionV relativeFrom="paragraph">
                  <wp:posOffset>184303</wp:posOffset>
                </wp:positionV>
                <wp:extent cx="13291185" cy="0"/>
                <wp:effectExtent l="0" t="0" r="0" b="0"/>
                <wp:wrapNone/>
                <wp:docPr id="1926736890" name="Connecteur droit 9"/>
                <wp:cNvGraphicFramePr/>
                <a:graphic xmlns:a="http://schemas.openxmlformats.org/drawingml/2006/main">
                  <a:graphicData uri="http://schemas.microsoft.com/office/word/2010/wordprocessingShape">
                    <wps:wsp>
                      <wps:cNvCnPr/>
                      <wps:spPr>
                        <a:xfrm>
                          <a:off x="0" y="0"/>
                          <a:ext cx="13291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E1555" id="Connecteur droit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4.5pt" to="104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" strokecolor="#4472c4 [3204]" strokeweight=".5pt">
                <v:stroke joinstyle="miter"/>
              </v:line>
            </w:pict>
          </mc:Fallback>
        </mc:AlternateContent>
      </w:r>
    </w:p>
    <w:p w14:paraId="51A8B214" w14:textId="77777777" w:rsidR="00DA3EC8" w:rsidRPr="00DF3B8E" w:rsidRDefault="00DA3EC8" w:rsidP="00DA3EC8">
      <w:pPr>
        <w:pStyle w:val="CGPC-elearning"/>
        <w:rPr>
          <w:szCs w:val="32"/>
          <w:lang w:eastAsia="en-US"/>
        </w:rPr>
      </w:pPr>
    </w:p>
    <w:p w14:paraId="708BAFB9" w14:textId="77777777" w:rsidR="00CB245E" w:rsidRDefault="00CB245E" w:rsidP="00CB245E">
      <w:pPr>
        <w:pStyle w:val="CGPC-elearning"/>
      </w:pPr>
    </w:p>
    <w:p w14:paraId="0F1879B1" w14:textId="77777777" w:rsidR="00CB245E" w:rsidRPr="00E030C1" w:rsidRDefault="00CB245E" w:rsidP="00CB245E">
      <w:pPr>
        <w:pStyle w:val="CGPC-elearning"/>
      </w:pPr>
    </w:p>
    <w:p w14:paraId="7B4160C4" w14:textId="77777777" w:rsidR="00E76F2A" w:rsidRPr="00CE00E9" w:rsidRDefault="00E76F2A" w:rsidP="00CB245E">
      <w:pPr>
        <w:pStyle w:val="CGPC-elearning"/>
      </w:pPr>
    </w:p>
    <w:sectPr w:rsidR="00E76F2A" w:rsidRPr="00CE00E9" w:rsidSect="00507E6E">
      <w:headerReference w:type="default" r:id="rId14"/>
      <w:footerReference w:type="default" r:id="rId15"/>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8791A" w14:textId="77777777" w:rsidR="00710E49" w:rsidRPr="00CB245E" w:rsidRDefault="00710E49" w:rsidP="002020F9">
      <w:pPr>
        <w:spacing w:after="0" w:line="240" w:lineRule="auto"/>
      </w:pPr>
      <w:r w:rsidRPr="00CB245E">
        <w:separator/>
      </w:r>
    </w:p>
  </w:endnote>
  <w:endnote w:type="continuationSeparator" w:id="0">
    <w:p w14:paraId="66DE0A16" w14:textId="77777777" w:rsidR="00710E49" w:rsidRPr="00CB245E" w:rsidRDefault="00710E49" w:rsidP="002020F9">
      <w:pPr>
        <w:spacing w:after="0" w:line="240" w:lineRule="auto"/>
      </w:pPr>
      <w:r w:rsidRPr="00CB24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D5711B0-1640-4F2D-9F9E-342CA959BDF3}"/>
    <w:embedBold r:id="rId2" w:fontKey="{4B43E7B1-1D20-4778-961C-B5DB2DB75892}"/>
    <w:embedItalic r:id="rId3" w:fontKey="{AAD0C9B4-B5A9-4075-BD1D-DA2FE8617F21}"/>
    <w:embedBoldItalic r:id="rId4" w:fontKey="{F0E30D6C-594C-408B-B60F-FC2ED6359D50}"/>
  </w:font>
  <w:font w:name="Calibri">
    <w:panose1 w:val="020F0502020204030204"/>
    <w:charset w:val="00"/>
    <w:family w:val="swiss"/>
    <w:pitch w:val="variable"/>
    <w:sig w:usb0="E4002EFF" w:usb1="C200247B" w:usb2="00000009" w:usb3="00000000" w:csb0="000001FF" w:csb1="00000000"/>
    <w:embedRegular r:id="rId5" w:fontKey="{5EADE4BC-B3B4-4F52-A3BB-5BDD22FCFDCE}"/>
    <w:embedBold r:id="rId6" w:fontKey="{E65A5C23-A385-4650-BA30-E50C03BF6671}"/>
    <w:embedItalic r:id="rId7" w:fontKey="{D5F46F0D-80B9-4587-9F98-A9D5D301EF22}"/>
    <w:embedBoldItalic r:id="rId8" w:fontKey="{5BFE0744-9C77-4243-B0DD-EA5A273028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C08B374-28AA-4568-9012-64D2479188F5}"/>
  </w:font>
  <w:font w:name="Verdana">
    <w:panose1 w:val="020B0604030504040204"/>
    <w:charset w:val="00"/>
    <w:family w:val="swiss"/>
    <w:pitch w:val="variable"/>
    <w:sig w:usb0="A00006FF" w:usb1="4000205B" w:usb2="00000010" w:usb3="00000000" w:csb0="0000019F" w:csb1="00000000"/>
    <w:embedRegular r:id="rId10" w:fontKey="{765E6FF5-6B56-4655-9FAD-FFF3D3502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217427"/>
      <w:docPartObj>
        <w:docPartGallery w:val="Page Numbers (Bottom of Page)"/>
        <w:docPartUnique/>
      </w:docPartObj>
    </w:sdtPr>
    <w:sdtContent>
      <w:p w14:paraId="021DEEAF" w14:textId="604B2F08" w:rsidR="00FA79CB" w:rsidRPr="00CB245E" w:rsidRDefault="00FA79CB">
        <w:pPr>
          <w:pStyle w:val="Pieddepage"/>
        </w:pPr>
        <w:r w:rsidRPr="00CB245E">
          <w:t xml:space="preserve"> </w:t>
        </w:r>
        <w:r w:rsidRPr="00CB245E">
          <w:fldChar w:fldCharType="begin"/>
        </w:r>
        <w:r w:rsidRPr="00CB245E">
          <w:instrText>PAGE   \* MERGEFORMAT</w:instrText>
        </w:r>
        <w:r w:rsidRPr="00CB245E">
          <w:fldChar w:fldCharType="separate"/>
        </w:r>
        <w:r w:rsidRPr="00CB245E">
          <w:t>2</w:t>
        </w:r>
        <w:r w:rsidRPr="00CB245E">
          <w:fldChar w:fldCharType="end"/>
        </w:r>
        <w:r w:rsidR="00E362B0" w:rsidRPr="00CB245E">
          <w:t xml:space="preserve"> </w:t>
        </w:r>
        <w:r w:rsidR="00E362B0" w:rsidRPr="00CB245E">
          <w:rPr>
            <w:sz w:val="22"/>
          </w:rPr>
          <w:t>Copyright© CGPC Développement®</w:t>
        </w:r>
      </w:p>
    </w:sdtContent>
  </w:sdt>
  <w:p w14:paraId="614E4FFA" w14:textId="4CD1445C" w:rsidR="00CA28D0" w:rsidRPr="00CB245E" w:rsidRDefault="00CA28D0" w:rsidP="00FA79CB">
    <w:pPr>
      <w:pStyle w:val="Pieddepage"/>
      <w:tabs>
        <w:tab w:val="clear" w:pos="4513"/>
        <w:tab w:val="clear" w:pos="9026"/>
        <w:tab w:val="left" w:pos="6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15FEA" w14:textId="77777777" w:rsidR="00710E49" w:rsidRPr="00CB245E" w:rsidRDefault="00710E49" w:rsidP="002020F9">
      <w:pPr>
        <w:spacing w:after="0" w:line="240" w:lineRule="auto"/>
      </w:pPr>
      <w:r w:rsidRPr="00CB245E">
        <w:separator/>
      </w:r>
    </w:p>
  </w:footnote>
  <w:footnote w:type="continuationSeparator" w:id="0">
    <w:p w14:paraId="6E67B997" w14:textId="77777777" w:rsidR="00710E49" w:rsidRPr="00CB245E" w:rsidRDefault="00710E49" w:rsidP="002020F9">
      <w:pPr>
        <w:spacing w:after="0" w:line="240" w:lineRule="auto"/>
      </w:pPr>
      <w:r w:rsidRPr="00CB24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E835" w14:textId="7D97730B" w:rsidR="00FA79CB" w:rsidRPr="00CB245E" w:rsidRDefault="00FA79CB">
    <w:pPr>
      <w:pStyle w:val="En-tte"/>
    </w:pPr>
    <w:r w:rsidRPr="00CB245E">
      <w:rPr>
        <w:noProof/>
      </w:rPr>
      <mc:AlternateContent>
        <mc:Choice Requires="wps">
          <w:drawing>
            <wp:anchor distT="0" distB="0" distL="118745" distR="118745" simplePos="0" relativeHeight="251659264" behindDoc="1" locked="0" layoutInCell="1" allowOverlap="0" wp14:anchorId="36257897" wp14:editId="568FFB9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4B29FF96" w14:textId="3A96C557" w:rsidR="00FA79CB" w:rsidRPr="00CB245E" w:rsidRDefault="00FA79CB">
                              <w:pPr>
                                <w:pStyle w:val="En-tte"/>
                                <w:jc w:val="center"/>
                                <w:rPr>
                                  <w:caps/>
                                  <w:color w:val="FFFFFF" w:themeColor="background1"/>
                                </w:rPr>
                              </w:pPr>
                              <w:r w:rsidRPr="00CB245E">
                                <w:rPr>
                                  <w:caps/>
                                  <w:color w:val="FFFFFF" w:themeColor="background1"/>
                                </w:rPr>
                                <w:t>Chapitre 1 : Les successions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6257897"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4B29FF96" w14:textId="3A96C557" w:rsidR="00FA79CB" w:rsidRPr="00CB245E" w:rsidRDefault="00FA79CB">
                        <w:pPr>
                          <w:pStyle w:val="En-tte"/>
                          <w:jc w:val="center"/>
                          <w:rPr>
                            <w:caps/>
                            <w:color w:val="FFFFFF" w:themeColor="background1"/>
                          </w:rPr>
                        </w:pPr>
                        <w:r w:rsidRPr="00CB245E">
                          <w:rPr>
                            <w:caps/>
                            <w:color w:val="FFFFFF" w:themeColor="background1"/>
                          </w:rPr>
                          <w:t>Chapitre 1 : Les successions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F48"/>
    <w:multiLevelType w:val="multilevel"/>
    <w:tmpl w:val="80687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B3914"/>
    <w:multiLevelType w:val="multilevel"/>
    <w:tmpl w:val="E070AB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856F1"/>
    <w:multiLevelType w:val="hybridMultilevel"/>
    <w:tmpl w:val="C418455E"/>
    <w:lvl w:ilvl="0" w:tplc="7DF6BD96">
      <w:start w:val="1"/>
      <w:numFmt w:val="upperLetter"/>
      <w:pStyle w:val="Titre3"/>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35E2A56"/>
    <w:multiLevelType w:val="multilevel"/>
    <w:tmpl w:val="B46A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619CE"/>
    <w:multiLevelType w:val="multilevel"/>
    <w:tmpl w:val="3F72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A55181"/>
    <w:multiLevelType w:val="multilevel"/>
    <w:tmpl w:val="EB52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A871EC"/>
    <w:multiLevelType w:val="hybridMultilevel"/>
    <w:tmpl w:val="C1626B3A"/>
    <w:lvl w:ilvl="0" w:tplc="BCCC89D8">
      <w:start w:val="1"/>
      <w:numFmt w:val="upperRoman"/>
      <w:pStyle w:val="Titre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15385"/>
    <w:multiLevelType w:val="hybridMultilevel"/>
    <w:tmpl w:val="8FE0FFEA"/>
    <w:lvl w:ilvl="0" w:tplc="B1488C78">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E7B24B8"/>
    <w:multiLevelType w:val="hybridMultilevel"/>
    <w:tmpl w:val="A23C4D52"/>
    <w:lvl w:ilvl="0" w:tplc="DA56D75E">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4314407"/>
    <w:multiLevelType w:val="multilevel"/>
    <w:tmpl w:val="1A3A8780"/>
    <w:lvl w:ilvl="0">
      <w:start w:val="1"/>
      <w:numFmt w:val="decimal"/>
      <w:pStyle w:val="Titre2"/>
      <w:lvlText w:val="%1."/>
      <w:lvlJc w:val="left"/>
      <w:pPr>
        <w:ind w:left="720"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0" w15:restartNumberingAfterBreak="0">
    <w:nsid w:val="5B297E54"/>
    <w:multiLevelType w:val="hybridMultilevel"/>
    <w:tmpl w:val="59A0DCFC"/>
    <w:lvl w:ilvl="0" w:tplc="0DC0FDF8">
      <w:start w:val="1"/>
      <w:numFmt w:val="lowerRoman"/>
      <w:pStyle w:val="Titre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1C2E5C"/>
    <w:multiLevelType w:val="hybridMultilevel"/>
    <w:tmpl w:val="7ED402C2"/>
    <w:lvl w:ilvl="0" w:tplc="0AD4D094">
      <w:start w:val="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D51C7"/>
    <w:multiLevelType w:val="multilevel"/>
    <w:tmpl w:val="2AF093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0767519">
    <w:abstractNumId w:val="9"/>
  </w:num>
  <w:num w:numId="2" w16cid:durableId="1427118286">
    <w:abstractNumId w:val="8"/>
  </w:num>
  <w:num w:numId="3" w16cid:durableId="1858275718">
    <w:abstractNumId w:val="2"/>
  </w:num>
  <w:num w:numId="4" w16cid:durableId="1906524701">
    <w:abstractNumId w:val="6"/>
  </w:num>
  <w:num w:numId="5" w16cid:durableId="1667630780">
    <w:abstractNumId w:val="2"/>
    <w:lvlOverride w:ilvl="0">
      <w:startOverride w:val="1"/>
    </w:lvlOverride>
  </w:num>
  <w:num w:numId="6" w16cid:durableId="1357459896">
    <w:abstractNumId w:val="2"/>
    <w:lvlOverride w:ilvl="0">
      <w:startOverride w:val="1"/>
    </w:lvlOverride>
  </w:num>
  <w:num w:numId="7" w16cid:durableId="458425633">
    <w:abstractNumId w:val="2"/>
    <w:lvlOverride w:ilvl="0">
      <w:startOverride w:val="1"/>
    </w:lvlOverride>
  </w:num>
  <w:num w:numId="8" w16cid:durableId="1907568454">
    <w:abstractNumId w:val="7"/>
  </w:num>
  <w:num w:numId="9" w16cid:durableId="1562251807">
    <w:abstractNumId w:val="10"/>
  </w:num>
  <w:num w:numId="10" w16cid:durableId="163084756">
    <w:abstractNumId w:val="11"/>
  </w:num>
  <w:num w:numId="11" w16cid:durableId="661852090">
    <w:abstractNumId w:val="2"/>
    <w:lvlOverride w:ilvl="0">
      <w:startOverride w:val="1"/>
    </w:lvlOverride>
  </w:num>
  <w:num w:numId="12" w16cid:durableId="17589389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94772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607192">
    <w:abstractNumId w:val="4"/>
  </w:num>
  <w:num w:numId="15" w16cid:durableId="2034531084">
    <w:abstractNumId w:val="0"/>
  </w:num>
  <w:num w:numId="16" w16cid:durableId="1154564050">
    <w:abstractNumId w:val="1"/>
  </w:num>
  <w:num w:numId="17" w16cid:durableId="801928257">
    <w:abstractNumId w:val="3"/>
  </w:num>
  <w:num w:numId="18" w16cid:durableId="776408708">
    <w:abstractNumId w:val="2"/>
    <w:lvlOverride w:ilvl="0">
      <w:startOverride w:val="1"/>
    </w:lvlOverride>
  </w:num>
  <w:num w:numId="19" w16cid:durableId="1233008861">
    <w:abstractNumId w:val="12"/>
  </w:num>
  <w:num w:numId="20" w16cid:durableId="191569713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567E"/>
    <w:rsid w:val="00030C13"/>
    <w:rsid w:val="00035730"/>
    <w:rsid w:val="00051ECB"/>
    <w:rsid w:val="00074CCE"/>
    <w:rsid w:val="00075E24"/>
    <w:rsid w:val="000A5435"/>
    <w:rsid w:val="000B762E"/>
    <w:rsid w:val="000C2B3F"/>
    <w:rsid w:val="000C5F54"/>
    <w:rsid w:val="000E46A3"/>
    <w:rsid w:val="00101D52"/>
    <w:rsid w:val="001238EF"/>
    <w:rsid w:val="0013660A"/>
    <w:rsid w:val="001525E5"/>
    <w:rsid w:val="00171443"/>
    <w:rsid w:val="001B4BB8"/>
    <w:rsid w:val="001E58CB"/>
    <w:rsid w:val="00200B59"/>
    <w:rsid w:val="002020F9"/>
    <w:rsid w:val="00207C6D"/>
    <w:rsid w:val="00233D58"/>
    <w:rsid w:val="00281D43"/>
    <w:rsid w:val="002863E1"/>
    <w:rsid w:val="002959AE"/>
    <w:rsid w:val="002A0770"/>
    <w:rsid w:val="002A4C01"/>
    <w:rsid w:val="002B65BE"/>
    <w:rsid w:val="002E1BD3"/>
    <w:rsid w:val="002E7C98"/>
    <w:rsid w:val="002F1AD3"/>
    <w:rsid w:val="0030508E"/>
    <w:rsid w:val="00326184"/>
    <w:rsid w:val="0036727B"/>
    <w:rsid w:val="00370167"/>
    <w:rsid w:val="00381697"/>
    <w:rsid w:val="00383443"/>
    <w:rsid w:val="00383F4B"/>
    <w:rsid w:val="00395D9F"/>
    <w:rsid w:val="003A3206"/>
    <w:rsid w:val="003E5C2F"/>
    <w:rsid w:val="00417911"/>
    <w:rsid w:val="00440AC8"/>
    <w:rsid w:val="00451B43"/>
    <w:rsid w:val="00455DDF"/>
    <w:rsid w:val="0046546F"/>
    <w:rsid w:val="00495F6E"/>
    <w:rsid w:val="0049661D"/>
    <w:rsid w:val="004C5E68"/>
    <w:rsid w:val="004E5DEA"/>
    <w:rsid w:val="004E72F0"/>
    <w:rsid w:val="004F1B6F"/>
    <w:rsid w:val="004F2499"/>
    <w:rsid w:val="004F7075"/>
    <w:rsid w:val="004F71B3"/>
    <w:rsid w:val="00507E6E"/>
    <w:rsid w:val="00537F75"/>
    <w:rsid w:val="00552D7D"/>
    <w:rsid w:val="00563C2E"/>
    <w:rsid w:val="00566450"/>
    <w:rsid w:val="00566BDA"/>
    <w:rsid w:val="0057136E"/>
    <w:rsid w:val="00581F63"/>
    <w:rsid w:val="0058472E"/>
    <w:rsid w:val="005911A5"/>
    <w:rsid w:val="00593DBA"/>
    <w:rsid w:val="005941FD"/>
    <w:rsid w:val="005B21EA"/>
    <w:rsid w:val="005E63C5"/>
    <w:rsid w:val="005F0983"/>
    <w:rsid w:val="00617873"/>
    <w:rsid w:val="00624CAE"/>
    <w:rsid w:val="0062781F"/>
    <w:rsid w:val="006325C6"/>
    <w:rsid w:val="00677448"/>
    <w:rsid w:val="006B1859"/>
    <w:rsid w:val="006E2203"/>
    <w:rsid w:val="00710E49"/>
    <w:rsid w:val="007403E1"/>
    <w:rsid w:val="00755B60"/>
    <w:rsid w:val="00780465"/>
    <w:rsid w:val="00786C75"/>
    <w:rsid w:val="007A02C8"/>
    <w:rsid w:val="007A379E"/>
    <w:rsid w:val="007D57B7"/>
    <w:rsid w:val="00822428"/>
    <w:rsid w:val="00834AAF"/>
    <w:rsid w:val="0083792B"/>
    <w:rsid w:val="008B0BC3"/>
    <w:rsid w:val="008D272E"/>
    <w:rsid w:val="008D4193"/>
    <w:rsid w:val="00910D5B"/>
    <w:rsid w:val="00913774"/>
    <w:rsid w:val="00937625"/>
    <w:rsid w:val="00984F19"/>
    <w:rsid w:val="00987382"/>
    <w:rsid w:val="009A3F3F"/>
    <w:rsid w:val="009A61A2"/>
    <w:rsid w:val="009E1E17"/>
    <w:rsid w:val="00A13493"/>
    <w:rsid w:val="00A61D02"/>
    <w:rsid w:val="00A64814"/>
    <w:rsid w:val="00A7577F"/>
    <w:rsid w:val="00A87FD6"/>
    <w:rsid w:val="00A94318"/>
    <w:rsid w:val="00AA6E58"/>
    <w:rsid w:val="00AB5284"/>
    <w:rsid w:val="00AC08C0"/>
    <w:rsid w:val="00AC3233"/>
    <w:rsid w:val="00AC4FFD"/>
    <w:rsid w:val="00AF59E6"/>
    <w:rsid w:val="00B0501B"/>
    <w:rsid w:val="00B069B5"/>
    <w:rsid w:val="00B10DE0"/>
    <w:rsid w:val="00B25AB9"/>
    <w:rsid w:val="00B34910"/>
    <w:rsid w:val="00B42117"/>
    <w:rsid w:val="00B5286C"/>
    <w:rsid w:val="00B630C8"/>
    <w:rsid w:val="00B75B22"/>
    <w:rsid w:val="00B8067C"/>
    <w:rsid w:val="00B81391"/>
    <w:rsid w:val="00BA00F1"/>
    <w:rsid w:val="00BA6548"/>
    <w:rsid w:val="00BF4DAF"/>
    <w:rsid w:val="00BF7C89"/>
    <w:rsid w:val="00C10087"/>
    <w:rsid w:val="00C10135"/>
    <w:rsid w:val="00C12BC9"/>
    <w:rsid w:val="00C17D12"/>
    <w:rsid w:val="00C31677"/>
    <w:rsid w:val="00C3690F"/>
    <w:rsid w:val="00C44C02"/>
    <w:rsid w:val="00C83889"/>
    <w:rsid w:val="00C86C18"/>
    <w:rsid w:val="00C9307D"/>
    <w:rsid w:val="00CA28D0"/>
    <w:rsid w:val="00CB245E"/>
    <w:rsid w:val="00CB29B6"/>
    <w:rsid w:val="00CC5221"/>
    <w:rsid w:val="00CE1F09"/>
    <w:rsid w:val="00D2768F"/>
    <w:rsid w:val="00D30A3F"/>
    <w:rsid w:val="00D5574B"/>
    <w:rsid w:val="00D654AD"/>
    <w:rsid w:val="00D7312E"/>
    <w:rsid w:val="00D812F3"/>
    <w:rsid w:val="00D82E49"/>
    <w:rsid w:val="00D82F8D"/>
    <w:rsid w:val="00D84884"/>
    <w:rsid w:val="00DA320D"/>
    <w:rsid w:val="00DA3EC8"/>
    <w:rsid w:val="00DE3098"/>
    <w:rsid w:val="00DE7870"/>
    <w:rsid w:val="00DF3B8E"/>
    <w:rsid w:val="00E02BB6"/>
    <w:rsid w:val="00E030C1"/>
    <w:rsid w:val="00E362B0"/>
    <w:rsid w:val="00E57CBB"/>
    <w:rsid w:val="00E678EF"/>
    <w:rsid w:val="00E76F2A"/>
    <w:rsid w:val="00E96BE2"/>
    <w:rsid w:val="00EB02FF"/>
    <w:rsid w:val="00EB0768"/>
    <w:rsid w:val="00EC652C"/>
    <w:rsid w:val="00ED4021"/>
    <w:rsid w:val="00F22A0B"/>
    <w:rsid w:val="00F65478"/>
    <w:rsid w:val="00FA79CB"/>
    <w:rsid w:val="00FB764F"/>
    <w:rsid w:val="00FD40BE"/>
    <w:rsid w:val="00FD73FA"/>
    <w:rsid w:val="00FE49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581F63"/>
    <w:pPr>
      <w:jc w:val="both"/>
    </w:pPr>
    <w:rPr>
      <w:rFonts w:ascii="Open Sans" w:hAnsi="Open Sans"/>
      <w:kern w:val="0"/>
      <w:sz w:val="32"/>
      <w14:ligatures w14:val="none"/>
    </w:rPr>
  </w:style>
  <w:style w:type="paragraph" w:styleId="Titre1">
    <w:name w:val="heading 1"/>
    <w:basedOn w:val="Normal"/>
    <w:next w:val="Titre2"/>
    <w:link w:val="Titre1Car"/>
    <w:autoRedefine/>
    <w:uiPriority w:val="9"/>
    <w:qFormat/>
    <w:rsid w:val="00051ECB"/>
    <w:pPr>
      <w:keepNext/>
      <w:keepLines/>
      <w:numPr>
        <w:numId w:val="4"/>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786C75"/>
    <w:pPr>
      <w:keepNext/>
      <w:keepLines/>
      <w:numPr>
        <w:numId w:val="1"/>
      </w:numPr>
      <w:shd w:val="clear" w:color="auto" w:fill="FFFFFF"/>
      <w:spacing w:before="600" w:after="200" w:line="240" w:lineRule="auto"/>
      <w:contextualSpacing/>
      <w:textAlignment w:val="baseline"/>
      <w:outlineLvl w:val="1"/>
    </w:pPr>
    <w:rPr>
      <w:rFonts w:eastAsiaTheme="majorEastAsia"/>
      <w:b/>
      <w:color w:val="4472C4" w:themeColor="accent1"/>
      <w:sz w:val="52"/>
      <w:szCs w:val="26"/>
    </w:rPr>
  </w:style>
  <w:style w:type="paragraph" w:styleId="Titre3">
    <w:name w:val="heading 3"/>
    <w:aliases w:val="Titre 3 CGPC"/>
    <w:basedOn w:val="CGPC-elearning"/>
    <w:next w:val="Normal"/>
    <w:link w:val="Titre3Car"/>
    <w:autoRedefine/>
    <w:uiPriority w:val="9"/>
    <w:unhideWhenUsed/>
    <w:qFormat/>
    <w:rsid w:val="007403E1"/>
    <w:pPr>
      <w:keepNext/>
      <w:keepLines/>
      <w:numPr>
        <w:numId w:val="3"/>
      </w:numPr>
      <w:shd w:val="clear" w:color="auto" w:fill="FFFFFF"/>
      <w:spacing w:before="600" w:after="200" w:line="240" w:lineRule="auto"/>
      <w:textAlignment w:val="baseline"/>
      <w:outlineLvl w:val="2"/>
    </w:pPr>
    <w:rPr>
      <w:rFonts w:eastAsia="Times New Roman"/>
      <w:b/>
      <w:color w:val="4472C4" w:themeColor="accent1"/>
      <w:sz w:val="48"/>
      <w:szCs w:val="30"/>
    </w:rPr>
  </w:style>
  <w:style w:type="paragraph" w:styleId="Titre4">
    <w:name w:val="heading 4"/>
    <w:aliases w:val="Titre 4 CGPC"/>
    <w:basedOn w:val="CGPC-elearning"/>
    <w:next w:val="Normal"/>
    <w:link w:val="Titre4Car"/>
    <w:autoRedefine/>
    <w:uiPriority w:val="9"/>
    <w:unhideWhenUsed/>
    <w:qFormat/>
    <w:rsid w:val="00581F63"/>
    <w:pPr>
      <w:keepNext/>
      <w:keepLines/>
      <w:numPr>
        <w:numId w:val="2"/>
      </w:numPr>
      <w:spacing w:before="280" w:after="240"/>
      <w:outlineLvl w:val="3"/>
    </w:pPr>
    <w:rPr>
      <w:rFonts w:eastAsiaTheme="majorEastAsia" w:cstheme="majorBidi"/>
      <w:b/>
      <w:iCs/>
      <w:color w:val="2F5496" w:themeColor="accent1" w:themeShade="BF"/>
      <w:sz w:val="44"/>
      <w:u w:val="single"/>
    </w:rPr>
  </w:style>
  <w:style w:type="paragraph" w:styleId="Titre5">
    <w:name w:val="heading 5"/>
    <w:aliases w:val="Titre 5 CGPC"/>
    <w:basedOn w:val="CGPC-elearning"/>
    <w:next w:val="Normal"/>
    <w:link w:val="Titre5Car"/>
    <w:autoRedefine/>
    <w:uiPriority w:val="9"/>
    <w:unhideWhenUsed/>
    <w:qFormat/>
    <w:rsid w:val="00581F63"/>
    <w:pPr>
      <w:keepNext/>
      <w:keepLines/>
      <w:numPr>
        <w:numId w:val="8"/>
      </w:numPr>
      <w:spacing w:before="400" w:after="360"/>
      <w:outlineLvl w:val="4"/>
    </w:pPr>
    <w:rPr>
      <w:rFonts w:eastAsia="Times New Roman" w:cstheme="majorBidi"/>
      <w:b/>
      <w:i/>
      <w:color w:val="2F5496" w:themeColor="accent1" w:themeShade="BF"/>
      <w:sz w:val="40"/>
    </w:rPr>
  </w:style>
  <w:style w:type="paragraph" w:styleId="Titre6">
    <w:name w:val="heading 6"/>
    <w:basedOn w:val="Normal"/>
    <w:next w:val="Normal"/>
    <w:link w:val="Titre6Car"/>
    <w:autoRedefine/>
    <w:uiPriority w:val="9"/>
    <w:semiHidden/>
    <w:unhideWhenUsed/>
    <w:rsid w:val="002A4C01"/>
    <w:pPr>
      <w:keepNext/>
      <w:keepLines/>
      <w:numPr>
        <w:numId w:val="9"/>
      </w:numPr>
      <w:spacing w:before="40" w:after="0"/>
      <w:outlineLvl w:val="5"/>
    </w:pPr>
    <w:rPr>
      <w:rFonts w:asciiTheme="majorHAnsi" w:eastAsiaTheme="majorEastAsia" w:hAnsiTheme="majorHAnsi" w:cstheme="majorBidi"/>
      <w:color w:val="2F5496" w:themeColor="accent1" w:themeShade="B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786C75"/>
    <w:rPr>
      <w:rFonts w:ascii="Open Sans" w:eastAsiaTheme="majorEastAsia" w:hAnsi="Open Sans" w:cs="Open Sans"/>
      <w:b/>
      <w:color w:val="4472C4" w:themeColor="accent1"/>
      <w:sz w:val="52"/>
      <w:szCs w:val="26"/>
      <w:bdr w:val="none" w:sz="0" w:space="0" w:color="auto" w:frame="1"/>
      <w:shd w:val="clear" w:color="auto" w:fill="FFFFFF"/>
      <w:lang w:eastAsia="fr-FR"/>
    </w:rPr>
  </w:style>
  <w:style w:type="character" w:customStyle="1" w:styleId="Titre1Car">
    <w:name w:val="Titre 1 Car"/>
    <w:basedOn w:val="Policepardfaut"/>
    <w:link w:val="Titre1"/>
    <w:uiPriority w:val="9"/>
    <w:rsid w:val="00051ECB"/>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CB245E"/>
    <w:pPr>
      <w:jc w:val="left"/>
    </w:pPr>
    <w:rPr>
      <w:rFonts w:cs="Open Sans"/>
      <w:kern w:val="2"/>
      <w:szCs w:val="36"/>
      <w:bdr w:val="none" w:sz="0" w:space="0" w:color="auto" w:frame="1"/>
      <w:lang w:eastAsia="fr-FR"/>
      <w14:ligatures w14:val="standardContextual"/>
    </w:rPr>
  </w:style>
  <w:style w:type="character" w:customStyle="1" w:styleId="CGPC-elearningCar">
    <w:name w:val="CGPC-elearning Car"/>
    <w:basedOn w:val="Policepardfaut"/>
    <w:link w:val="CGPC-elearning"/>
    <w:rsid w:val="00CB245E"/>
    <w:rPr>
      <w:rFonts w:ascii="Open Sans" w:hAnsi="Open Sans" w:cs="Open Sans"/>
      <w:sz w:val="32"/>
      <w:szCs w:val="36"/>
      <w:bdr w:val="none" w:sz="0" w:space="0" w:color="auto" w:frame="1"/>
      <w:lang w:eastAsia="fr-FR"/>
    </w:rPr>
  </w:style>
  <w:style w:type="character" w:customStyle="1" w:styleId="Titre3Car">
    <w:name w:val="Titre 3 Car"/>
    <w:aliases w:val="Titre 3 CGPC Car"/>
    <w:basedOn w:val="Policepardfaut"/>
    <w:link w:val="Titre3"/>
    <w:uiPriority w:val="9"/>
    <w:rsid w:val="007403E1"/>
    <w:rPr>
      <w:rFonts w:ascii="Open Sans" w:eastAsia="Times New Roman" w:hAnsi="Open Sans" w:cs="Open Sans"/>
      <w:b/>
      <w:color w:val="4472C4" w:themeColor="accent1"/>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581F63"/>
    <w:rPr>
      <w:rFonts w:ascii="Open Sans" w:eastAsiaTheme="majorEastAsia" w:hAnsi="Open Sans" w:cstheme="majorBidi"/>
      <w:b/>
      <w:iCs/>
      <w:color w:val="2F5496" w:themeColor="accent1" w:themeShade="BF"/>
      <w:sz w:val="44"/>
      <w:szCs w:val="36"/>
      <w:u w:val="single"/>
      <w:bdr w:val="none" w:sz="0" w:space="0" w:color="auto" w:frame="1"/>
      <w:lang w:eastAsia="fr-FR"/>
    </w:rPr>
  </w:style>
  <w:style w:type="character" w:customStyle="1" w:styleId="Titre5Car">
    <w:name w:val="Titre 5 Car"/>
    <w:aliases w:val="Titre 5 CGPC Car"/>
    <w:basedOn w:val="Policepardfaut"/>
    <w:link w:val="Titre5"/>
    <w:uiPriority w:val="9"/>
    <w:rsid w:val="00581F63"/>
    <w:rPr>
      <w:rFonts w:ascii="Open Sans" w:eastAsia="Times New Roman" w:hAnsi="Open Sans" w:cstheme="majorBidi"/>
      <w:b/>
      <w:i/>
      <w:color w:val="2F5496" w:themeColor="accent1" w:themeShade="BF"/>
      <w:sz w:val="40"/>
      <w:szCs w:val="36"/>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character" w:customStyle="1" w:styleId="Titre6Car">
    <w:name w:val="Titre 6 Car"/>
    <w:basedOn w:val="Policepardfaut"/>
    <w:link w:val="Titre6"/>
    <w:uiPriority w:val="9"/>
    <w:semiHidden/>
    <w:rsid w:val="002A4C01"/>
    <w:rPr>
      <w:rFonts w:asciiTheme="majorHAnsi" w:eastAsiaTheme="majorEastAsia" w:hAnsiTheme="majorHAnsi" w:cstheme="majorBidi"/>
      <w:color w:val="2F5496" w:themeColor="accent1" w:themeShade="BF"/>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ritage-succession.com/article-heritage-et-reglement-des-droits-de-succession-beneficiez-vous-dexoneration-ou-de-reduction.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etheure xmlns="b079812a-7967-4ed2-9291-1c797a51b449" xsi:nil="true"/>
    <TaxCatchAll xmlns="427b065b-dfa1-44b2-8977-c4f8c74eb7ce" xsi:nil="true"/>
    <lcf76f155ced4ddcb4097134ff3c332f xmlns="b079812a-7967-4ed2-9291-1c797a51b44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19d947a492dced9da262b60f42281682">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eca7720a5136430c56d504f4a35bfa62"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2.xml><?xml version="1.0" encoding="utf-8"?>
<ds:datastoreItem xmlns:ds="http://schemas.openxmlformats.org/officeDocument/2006/customXml" ds:itemID="{C8EB5F47-D36E-4719-BB4B-6C2B30E5DA61}">
  <ds:schemaRefs>
    <ds:schemaRef ds:uri="http://schemas.microsoft.com/office/2006/metadata/properties"/>
    <ds:schemaRef ds:uri="http://schemas.microsoft.com/office/infopath/2007/PartnerControls"/>
    <ds:schemaRef ds:uri="b079812a-7967-4ed2-9291-1c797a51b449"/>
    <ds:schemaRef ds:uri="427b065b-dfa1-44b2-8977-c4f8c74eb7ce"/>
  </ds:schemaRefs>
</ds:datastoreItem>
</file>

<file path=customXml/itemProps3.xml><?xml version="1.0" encoding="utf-8"?>
<ds:datastoreItem xmlns:ds="http://schemas.openxmlformats.org/officeDocument/2006/customXml" ds:itemID="{55837479-DDC0-45CE-A715-4BF4B3DE8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6F05F-D485-4609-A600-57E6619B7A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4353</Words>
  <Characters>23943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Chapitre 1</vt:lpstr>
    </vt:vector>
  </TitlesOfParts>
  <Company>CGPC - membre FPSB</Company>
  <LinksUpToDate>false</LinksUpToDate>
  <CharactersWithSpaces>28240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Les successions</dc:title>
  <dc:subject>Les successions</dc:subject>
  <dc:creator>Renaud Duval</dc:creator>
  <cp:keywords/>
  <dc:description/>
  <cp:lastModifiedBy>Raymond Leban</cp:lastModifiedBy>
  <cp:revision>35</cp:revision>
  <cp:lastPrinted>2024-02-07T13:27:00Z</cp:lastPrinted>
  <dcterms:created xsi:type="dcterms:W3CDTF">2025-04-21T16:57:00Z</dcterms:created>
  <dcterms:modified xsi:type="dcterms:W3CDTF">2026-05-26T12:22:00Z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0x01010069AF460F70362646BCBF863D62D99DF7</vt:lpwstr>
  </property>
  <property fmtid="{D5CDD505-2E9C-101B-9397-08002B2CF9AE}" pid="3" name="MediaServiceImageTags">
    <vt:lpwstr/>
  </property>
</Properties>
</file>