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CAD2" w14:textId="156B23EB" w:rsidR="006B7DFC" w:rsidRDefault="006B7DFC" w:rsidP="00982055">
      <w:pPr>
        <w:spacing w:after="187" w:line="259" w:lineRule="auto"/>
        <w:ind w:left="1889" w:firstLine="0"/>
        <w:jc w:val="center"/>
      </w:pPr>
    </w:p>
    <w:p w14:paraId="60C5746C" w14:textId="14A5C2EF" w:rsidR="00C866E7" w:rsidRPr="00C866E7" w:rsidRDefault="00C84ED1" w:rsidP="00C866E7">
      <w:pPr>
        <w:shd w:val="clear" w:color="auto" w:fill="FFFFFF"/>
        <w:spacing w:after="270" w:line="360" w:lineRule="atLeast"/>
        <w:ind w:left="0" w:firstLine="0"/>
        <w:jc w:val="center"/>
        <w:rPr>
          <w:rFonts w:eastAsia="Times New Roman"/>
          <w:color w:val="262626"/>
          <w:kern w:val="0"/>
          <w:sz w:val="52"/>
          <w:szCs w:val="52"/>
          <w14:ligatures w14:val="none"/>
        </w:rPr>
      </w:pPr>
      <w:r w:rsidRPr="00C866E7">
        <w:rPr>
          <w:b/>
          <w:sz w:val="52"/>
          <w:szCs w:val="52"/>
        </w:rPr>
        <w:t>2</w:t>
      </w:r>
      <w:r w:rsidR="00C866E7" w:rsidRPr="00C866E7">
        <w:rPr>
          <w:b/>
          <w:sz w:val="52"/>
          <w:szCs w:val="52"/>
        </w:rPr>
        <w:t>5</w:t>
      </w:r>
      <w:r w:rsidR="00397F4B" w:rsidRPr="00C866E7">
        <w:rPr>
          <w:b/>
          <w:sz w:val="52"/>
          <w:szCs w:val="52"/>
        </w:rPr>
        <w:t xml:space="preserve">. </w:t>
      </w:r>
      <w:r w:rsidR="00C866E7" w:rsidRPr="00C866E7">
        <w:rPr>
          <w:rFonts w:eastAsia="Times New Roman"/>
          <w:b/>
          <w:bCs/>
          <w:color w:val="262626"/>
          <w:kern w:val="0"/>
          <w:sz w:val="52"/>
          <w:szCs w:val="52"/>
          <w14:ligatures w14:val="none"/>
        </w:rPr>
        <w:t>Assurer la maîtrise des sous-traitants et des partenaires impliqués dans la réalisation des prestations</w:t>
      </w:r>
    </w:p>
    <w:p w14:paraId="495954B7" w14:textId="77777777" w:rsidR="00982055" w:rsidRDefault="00000000" w:rsidP="00982055">
      <w:pPr>
        <w:pStyle w:val="NormalWeb"/>
        <w:shd w:val="clear" w:color="auto" w:fill="FFFFFF"/>
        <w:spacing w:after="270" w:line="360" w:lineRule="atLeast"/>
        <w:jc w:val="center"/>
        <w:rPr>
          <w:b/>
          <w:i/>
          <w:sz w:val="40"/>
          <w:szCs w:val="40"/>
        </w:rPr>
      </w:pPr>
      <w:r w:rsidRPr="00E323FB">
        <w:rPr>
          <w:b/>
          <w:i/>
          <w:sz w:val="40"/>
          <w:szCs w:val="40"/>
        </w:rPr>
        <w:t>Descriptio</w:t>
      </w:r>
      <w:r w:rsidR="00EE5D5A">
        <w:rPr>
          <w:b/>
          <w:i/>
          <w:sz w:val="40"/>
          <w:szCs w:val="40"/>
        </w:rPr>
        <w:t>n</w:t>
      </w:r>
    </w:p>
    <w:p w14:paraId="6E1F43D3" w14:textId="77777777" w:rsidR="00C866E7" w:rsidRPr="00C866E7" w:rsidRDefault="00C866E7" w:rsidP="00C866E7">
      <w:pPr>
        <w:shd w:val="clear" w:color="auto" w:fill="FFFFFF"/>
        <w:spacing w:after="270" w:line="360" w:lineRule="atLeast"/>
        <w:ind w:left="0" w:firstLine="0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L'indicateur 25 exige que l’organisme de formation mette en place un dispositif pour garantir que les sous-traitants et partenaires impliqués dans la réalisation des prestations respectent les mêmes standards de qualité que l’organisme lui-même. Cela inclut la sélection, l’évaluation et le suivi de ces parties externes.</w:t>
      </w:r>
    </w:p>
    <w:p w14:paraId="4079EAFE" w14:textId="77777777" w:rsidR="00C866E7" w:rsidRPr="00C866E7" w:rsidRDefault="00C866E7" w:rsidP="00C866E7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C866E7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2D90C100">
          <v:rect id="_x0000_i1693" style="width:0;height:.75pt" o:hrstd="t" o:hrnoshade="t" o:hr="t" fillcolor="#262626" stroked="f"/>
        </w:pict>
      </w:r>
    </w:p>
    <w:p w14:paraId="2038D723" w14:textId="77777777" w:rsidR="00C866E7" w:rsidRPr="00C866E7" w:rsidRDefault="00C866E7" w:rsidP="00C866E7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1 : Sélectionner les sous-traitants et partenaires</w:t>
      </w:r>
    </w:p>
    <w:p w14:paraId="3FA20A6B" w14:textId="77777777" w:rsidR="00C866E7" w:rsidRPr="00C866E7" w:rsidRDefault="00C866E7" w:rsidP="00C866E7">
      <w:pPr>
        <w:numPr>
          <w:ilvl w:val="0"/>
          <w:numId w:val="131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Définir les critères de sélection</w:t>
      </w: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6768742" w14:textId="77777777" w:rsidR="00C866E7" w:rsidRPr="00C866E7" w:rsidRDefault="00C866E7" w:rsidP="00C866E7">
      <w:pPr>
        <w:numPr>
          <w:ilvl w:val="1"/>
          <w:numId w:val="13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Compétence et expertise dans le domaine concerné.</w:t>
      </w:r>
    </w:p>
    <w:p w14:paraId="4C2FC764" w14:textId="77777777" w:rsidR="00C866E7" w:rsidRPr="00C866E7" w:rsidRDefault="00C866E7" w:rsidP="00C866E7">
      <w:pPr>
        <w:numPr>
          <w:ilvl w:val="1"/>
          <w:numId w:val="13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Réputation et références professionnelles.</w:t>
      </w:r>
    </w:p>
    <w:p w14:paraId="60012E0E" w14:textId="77777777" w:rsidR="00C866E7" w:rsidRPr="00C866E7" w:rsidRDefault="00C866E7" w:rsidP="00C866E7">
      <w:pPr>
        <w:numPr>
          <w:ilvl w:val="1"/>
          <w:numId w:val="13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Conformité aux normes légales et réglementaires.</w:t>
      </w:r>
    </w:p>
    <w:p w14:paraId="2850AA0D" w14:textId="77777777" w:rsidR="00C866E7" w:rsidRPr="00C866E7" w:rsidRDefault="00C866E7" w:rsidP="00C866E7">
      <w:pPr>
        <w:numPr>
          <w:ilvl w:val="1"/>
          <w:numId w:val="13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Capacité à respecter les délais et engagements.</w:t>
      </w:r>
    </w:p>
    <w:p w14:paraId="39987BD5" w14:textId="77777777" w:rsidR="00C866E7" w:rsidRPr="00C866E7" w:rsidRDefault="00C866E7" w:rsidP="00C866E7">
      <w:pPr>
        <w:numPr>
          <w:ilvl w:val="0"/>
          <w:numId w:val="131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Procéder à un appel d’offres ou une consultation</w:t>
      </w: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29D35C51" w14:textId="77777777" w:rsidR="00C866E7" w:rsidRPr="00C866E7" w:rsidRDefault="00C866E7" w:rsidP="00C866E7">
      <w:pPr>
        <w:numPr>
          <w:ilvl w:val="1"/>
          <w:numId w:val="13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Solliciter plusieurs prestataires pour comparer les offres.</w:t>
      </w:r>
    </w:p>
    <w:p w14:paraId="2C896346" w14:textId="77777777" w:rsidR="00C866E7" w:rsidRPr="00C866E7" w:rsidRDefault="00C866E7" w:rsidP="00C866E7">
      <w:pPr>
        <w:numPr>
          <w:ilvl w:val="1"/>
          <w:numId w:val="13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Évaluer les propositions en fonction des critères définis.</w:t>
      </w:r>
    </w:p>
    <w:p w14:paraId="2DB231B9" w14:textId="77777777" w:rsidR="00C866E7" w:rsidRPr="00C866E7" w:rsidRDefault="00C866E7" w:rsidP="00C866E7">
      <w:pPr>
        <w:numPr>
          <w:ilvl w:val="0"/>
          <w:numId w:val="131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Contractualiser la collaboration</w:t>
      </w: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282A5003" w14:textId="77777777" w:rsidR="00C866E7" w:rsidRPr="00C866E7" w:rsidRDefault="00C866E7" w:rsidP="00C866E7">
      <w:pPr>
        <w:numPr>
          <w:ilvl w:val="1"/>
          <w:numId w:val="13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Rédiger un contrat détaillant les obligations de chaque partie.</w:t>
      </w:r>
    </w:p>
    <w:p w14:paraId="7A4C59B4" w14:textId="77777777" w:rsidR="00C866E7" w:rsidRPr="00C866E7" w:rsidRDefault="00C866E7" w:rsidP="00C866E7">
      <w:pPr>
        <w:numPr>
          <w:ilvl w:val="1"/>
          <w:numId w:val="13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lastRenderedPageBreak/>
        <w:t>Inclure des clauses sur le respect des standards de qualité, la confidentialité et les délais.</w:t>
      </w:r>
    </w:p>
    <w:p w14:paraId="5E1A4DB1" w14:textId="77777777" w:rsidR="00C866E7" w:rsidRPr="00C866E7" w:rsidRDefault="00C866E7" w:rsidP="00C866E7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C866E7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2548E5AF">
          <v:rect id="_x0000_i1694" style="width:0;height:.75pt" o:hrstd="t" o:hrnoshade="t" o:hr="t" fillcolor="#262626" stroked="f"/>
        </w:pict>
      </w:r>
    </w:p>
    <w:p w14:paraId="32237085" w14:textId="77777777" w:rsidR="00C866E7" w:rsidRPr="00C866E7" w:rsidRDefault="00C866E7" w:rsidP="00C866E7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2 : Évaluer et valider les prestations des sous-traitants et partenaires</w:t>
      </w:r>
    </w:p>
    <w:p w14:paraId="14A06367" w14:textId="77777777" w:rsidR="00C866E7" w:rsidRPr="00C866E7" w:rsidRDefault="00C866E7" w:rsidP="00C866E7">
      <w:pPr>
        <w:numPr>
          <w:ilvl w:val="0"/>
          <w:numId w:val="132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Mettre en place des indicateurs de performance</w:t>
      </w: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68122C06" w14:textId="77777777" w:rsidR="00C866E7" w:rsidRPr="00C866E7" w:rsidRDefault="00C866E7" w:rsidP="00C866E7">
      <w:pPr>
        <w:numPr>
          <w:ilvl w:val="1"/>
          <w:numId w:val="13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Définir des KPI pour évaluer la qualité des prestations (exemple : satisfaction des bénéficiaires, respect des délais, conformité aux spécifications).</w:t>
      </w:r>
    </w:p>
    <w:p w14:paraId="1C2FD892" w14:textId="77777777" w:rsidR="00C866E7" w:rsidRPr="00C866E7" w:rsidRDefault="00C866E7" w:rsidP="00C866E7">
      <w:pPr>
        <w:numPr>
          <w:ilvl w:val="0"/>
          <w:numId w:val="132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Suivre régulièrement les prestations</w:t>
      </w: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72940C36" w14:textId="77777777" w:rsidR="00C866E7" w:rsidRPr="00C866E7" w:rsidRDefault="00C866E7" w:rsidP="00C866E7">
      <w:pPr>
        <w:numPr>
          <w:ilvl w:val="1"/>
          <w:numId w:val="13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Organiser des réunions de suivi pour évaluer l’avancement des projets.</w:t>
      </w:r>
    </w:p>
    <w:p w14:paraId="34A57625" w14:textId="77777777" w:rsidR="00C866E7" w:rsidRPr="00C866E7" w:rsidRDefault="00C866E7" w:rsidP="00C866E7">
      <w:pPr>
        <w:numPr>
          <w:ilvl w:val="1"/>
          <w:numId w:val="13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Effectuer des audits ou contrôles qualité sur les prestations livrées.</w:t>
      </w:r>
    </w:p>
    <w:p w14:paraId="4AB22D1A" w14:textId="77777777" w:rsidR="00C866E7" w:rsidRPr="00C866E7" w:rsidRDefault="00C866E7" w:rsidP="00C866E7">
      <w:pPr>
        <w:numPr>
          <w:ilvl w:val="0"/>
          <w:numId w:val="132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Recueillir les retours des bénéficiaires et parties prenantes</w:t>
      </w: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3079191C" w14:textId="77777777" w:rsidR="00C866E7" w:rsidRPr="00C866E7" w:rsidRDefault="00C866E7" w:rsidP="00C866E7">
      <w:pPr>
        <w:numPr>
          <w:ilvl w:val="1"/>
          <w:numId w:val="13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Utiliser des questionnaires ou entretiens pour obtenir des feedbacks sur la qualité des prestations sous-traitées.</w:t>
      </w:r>
    </w:p>
    <w:p w14:paraId="30C518C5" w14:textId="77777777" w:rsidR="00C866E7" w:rsidRPr="00C866E7" w:rsidRDefault="00C866E7" w:rsidP="00C866E7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C866E7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78A02564">
          <v:rect id="_x0000_i1695" style="width:0;height:.75pt" o:hrstd="t" o:hrnoshade="t" o:hr="t" fillcolor="#262626" stroked="f"/>
        </w:pict>
      </w:r>
    </w:p>
    <w:p w14:paraId="14540FFE" w14:textId="77777777" w:rsidR="00C866E7" w:rsidRPr="00C866E7" w:rsidRDefault="00C866E7" w:rsidP="00C866E7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3 : Assurer la communication et la coordination</w:t>
      </w:r>
    </w:p>
    <w:p w14:paraId="77F62F41" w14:textId="77777777" w:rsidR="00C866E7" w:rsidRPr="00C866E7" w:rsidRDefault="00C866E7" w:rsidP="00C866E7">
      <w:pPr>
        <w:numPr>
          <w:ilvl w:val="0"/>
          <w:numId w:val="133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Établir des canaux de communication clairs</w:t>
      </w: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3A7FC25B" w14:textId="77777777" w:rsidR="00C866E7" w:rsidRPr="00C866E7" w:rsidRDefault="00C866E7" w:rsidP="00C866E7">
      <w:pPr>
        <w:numPr>
          <w:ilvl w:val="1"/>
          <w:numId w:val="13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Désigner des interlocuteurs référents pour chaque sous-traitant ou partenaire.</w:t>
      </w:r>
    </w:p>
    <w:p w14:paraId="524FECB5" w14:textId="77777777" w:rsidR="00C866E7" w:rsidRPr="00C866E7" w:rsidRDefault="00C866E7" w:rsidP="00C866E7">
      <w:pPr>
        <w:numPr>
          <w:ilvl w:val="1"/>
          <w:numId w:val="13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Mettre en place des outils de communication partagés (exemple : plateformes collaboratives, emails dédiés).</w:t>
      </w:r>
    </w:p>
    <w:p w14:paraId="5F38B8D0" w14:textId="77777777" w:rsidR="00C866E7" w:rsidRPr="00C866E7" w:rsidRDefault="00C866E7" w:rsidP="00C866E7">
      <w:pPr>
        <w:numPr>
          <w:ilvl w:val="0"/>
          <w:numId w:val="133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Organiser des réunions régulières</w:t>
      </w: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1E16F455" w14:textId="77777777" w:rsidR="00C866E7" w:rsidRPr="00C866E7" w:rsidRDefault="00C866E7" w:rsidP="00C866E7">
      <w:pPr>
        <w:numPr>
          <w:ilvl w:val="1"/>
          <w:numId w:val="13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Planifier des points de coordination pour s’assurer de l’alignement des objectifs et des actions.</w:t>
      </w:r>
    </w:p>
    <w:p w14:paraId="71A82283" w14:textId="77777777" w:rsidR="00C866E7" w:rsidRPr="00C866E7" w:rsidRDefault="00C866E7" w:rsidP="00C866E7">
      <w:pPr>
        <w:numPr>
          <w:ilvl w:val="1"/>
          <w:numId w:val="13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lastRenderedPageBreak/>
        <w:t>Discuter des éventuels problèmes rencontrés et des solutions à mettre en œuvre.</w:t>
      </w:r>
    </w:p>
    <w:p w14:paraId="5A410049" w14:textId="77777777" w:rsidR="00C866E7" w:rsidRPr="00C866E7" w:rsidRDefault="00C866E7" w:rsidP="00C866E7">
      <w:pPr>
        <w:numPr>
          <w:ilvl w:val="0"/>
          <w:numId w:val="133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Documenter les échanges et décisions</w:t>
      </w: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0AB4E4BD" w14:textId="77777777" w:rsidR="00C866E7" w:rsidRPr="00C866E7" w:rsidRDefault="00C866E7" w:rsidP="00C866E7">
      <w:pPr>
        <w:numPr>
          <w:ilvl w:val="1"/>
          <w:numId w:val="13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Tenir des comptes rendus de réunions et des suivis d’actions.</w:t>
      </w:r>
    </w:p>
    <w:p w14:paraId="58B7CF92" w14:textId="77777777" w:rsidR="00C866E7" w:rsidRPr="00C866E7" w:rsidRDefault="00C866E7" w:rsidP="00C866E7">
      <w:pPr>
        <w:numPr>
          <w:ilvl w:val="1"/>
          <w:numId w:val="13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Archiver les communications importantes pour assurer la traçabilité.</w:t>
      </w:r>
    </w:p>
    <w:p w14:paraId="1EA2F4A0" w14:textId="77777777" w:rsidR="00C866E7" w:rsidRPr="00C866E7" w:rsidRDefault="00C866E7" w:rsidP="00C866E7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C866E7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32C75DB9">
          <v:rect id="_x0000_i1696" style="width:0;height:.75pt" o:hrstd="t" o:hrnoshade="t" o:hr="t" fillcolor="#262626" stroked="f"/>
        </w:pict>
      </w:r>
    </w:p>
    <w:p w14:paraId="6C8F56C5" w14:textId="77777777" w:rsidR="00C866E7" w:rsidRPr="00C866E7" w:rsidRDefault="00C866E7" w:rsidP="00C866E7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4 : Gérer les risques liés à la sous-traitance</w:t>
      </w:r>
    </w:p>
    <w:p w14:paraId="5200A9B1" w14:textId="77777777" w:rsidR="00C866E7" w:rsidRPr="00C866E7" w:rsidRDefault="00C866E7" w:rsidP="00C866E7">
      <w:pPr>
        <w:numPr>
          <w:ilvl w:val="0"/>
          <w:numId w:val="134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Identifier les risques potentiels</w:t>
      </w: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7E7ADB51" w14:textId="77777777" w:rsidR="00C866E7" w:rsidRPr="00C866E7" w:rsidRDefault="00C866E7" w:rsidP="00C866E7">
      <w:pPr>
        <w:numPr>
          <w:ilvl w:val="1"/>
          <w:numId w:val="13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Retards dans la livraison des prestations.</w:t>
      </w:r>
    </w:p>
    <w:p w14:paraId="4A3CA178" w14:textId="77777777" w:rsidR="00C866E7" w:rsidRPr="00C866E7" w:rsidRDefault="00C866E7" w:rsidP="00C866E7">
      <w:pPr>
        <w:numPr>
          <w:ilvl w:val="1"/>
          <w:numId w:val="13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Non-conformité des prestations aux standards de qualité.</w:t>
      </w:r>
    </w:p>
    <w:p w14:paraId="130B59EE" w14:textId="77777777" w:rsidR="00C866E7" w:rsidRPr="00C866E7" w:rsidRDefault="00C866E7" w:rsidP="00C866E7">
      <w:pPr>
        <w:numPr>
          <w:ilvl w:val="1"/>
          <w:numId w:val="13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Problèmes de communication ou de coordination.</w:t>
      </w:r>
    </w:p>
    <w:p w14:paraId="3585B110" w14:textId="77777777" w:rsidR="00C866E7" w:rsidRPr="00C866E7" w:rsidRDefault="00C866E7" w:rsidP="00C866E7">
      <w:pPr>
        <w:numPr>
          <w:ilvl w:val="0"/>
          <w:numId w:val="134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Mettre en place un plan de gestion des risques</w:t>
      </w: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64E69617" w14:textId="77777777" w:rsidR="00C866E7" w:rsidRPr="00C866E7" w:rsidRDefault="00C866E7" w:rsidP="00C866E7">
      <w:pPr>
        <w:numPr>
          <w:ilvl w:val="1"/>
          <w:numId w:val="13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Définir des actions préventives et correctives pour chaque risque identifié.</w:t>
      </w:r>
    </w:p>
    <w:p w14:paraId="7D18E40B" w14:textId="77777777" w:rsidR="00C866E7" w:rsidRPr="00C866E7" w:rsidRDefault="00C866E7" w:rsidP="00C866E7">
      <w:pPr>
        <w:numPr>
          <w:ilvl w:val="1"/>
          <w:numId w:val="13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Prévoir des alternatives ou solutions de repli en cas de défaillance d’un sous-traitant.</w:t>
      </w:r>
    </w:p>
    <w:p w14:paraId="3EF16538" w14:textId="77777777" w:rsidR="00C866E7" w:rsidRPr="00C866E7" w:rsidRDefault="00C866E7" w:rsidP="00C866E7">
      <w:pPr>
        <w:numPr>
          <w:ilvl w:val="0"/>
          <w:numId w:val="134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Évaluer régulièrement les risques</w:t>
      </w: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DC4EC7C" w14:textId="77777777" w:rsidR="00C866E7" w:rsidRPr="00C866E7" w:rsidRDefault="00C866E7" w:rsidP="00C866E7">
      <w:pPr>
        <w:numPr>
          <w:ilvl w:val="1"/>
          <w:numId w:val="13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Réaliser des bilans périodiques pour ajuster le plan de gestion des risques.</w:t>
      </w:r>
    </w:p>
    <w:p w14:paraId="16B13468" w14:textId="77777777" w:rsidR="00C866E7" w:rsidRPr="00C866E7" w:rsidRDefault="00C866E7" w:rsidP="00C866E7">
      <w:pPr>
        <w:numPr>
          <w:ilvl w:val="1"/>
          <w:numId w:val="13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Impliquer les sous-traitants et partenaires dans l’évaluation des risques et la mise en œuvre des solutions.</w:t>
      </w:r>
    </w:p>
    <w:p w14:paraId="273427B7" w14:textId="77777777" w:rsidR="00C866E7" w:rsidRPr="00C866E7" w:rsidRDefault="00C866E7" w:rsidP="00C866E7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C866E7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2563475E">
          <v:rect id="_x0000_i1697" style="width:0;height:.75pt" o:hrstd="t" o:hrnoshade="t" o:hr="t" fillcolor="#262626" stroked="f"/>
        </w:pict>
      </w:r>
    </w:p>
    <w:p w14:paraId="16E45839" w14:textId="77777777" w:rsidR="00C866E7" w:rsidRPr="00C866E7" w:rsidRDefault="00C866E7" w:rsidP="00C866E7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5 : Évaluer la collaboration et ajuster si nécessaire</w:t>
      </w:r>
    </w:p>
    <w:p w14:paraId="511933C9" w14:textId="77777777" w:rsidR="00C866E7" w:rsidRPr="00C866E7" w:rsidRDefault="00C866E7" w:rsidP="00C866E7">
      <w:pPr>
        <w:numPr>
          <w:ilvl w:val="0"/>
          <w:numId w:val="135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Réaliser des bilans de collaboration</w:t>
      </w: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EE47EE2" w14:textId="77777777" w:rsidR="00C866E7" w:rsidRPr="00C866E7" w:rsidRDefault="00C866E7" w:rsidP="00C866E7">
      <w:pPr>
        <w:numPr>
          <w:ilvl w:val="1"/>
          <w:numId w:val="13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À la fin de chaque projet ou prestation, évaluer la qualité de la collaboration.</w:t>
      </w:r>
    </w:p>
    <w:p w14:paraId="2EE48E47" w14:textId="77777777" w:rsidR="00C866E7" w:rsidRPr="00C866E7" w:rsidRDefault="00C866E7" w:rsidP="00C866E7">
      <w:pPr>
        <w:numPr>
          <w:ilvl w:val="1"/>
          <w:numId w:val="13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Identifier les points forts et les axes d’amélioration.</w:t>
      </w:r>
    </w:p>
    <w:p w14:paraId="1132FC08" w14:textId="77777777" w:rsidR="00C866E7" w:rsidRPr="00C866E7" w:rsidRDefault="00C866E7" w:rsidP="00C866E7">
      <w:pPr>
        <w:numPr>
          <w:ilvl w:val="0"/>
          <w:numId w:val="135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Renouveler ou ajuster les collaborations</w:t>
      </w: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6BFB8842" w14:textId="77777777" w:rsidR="00C866E7" w:rsidRPr="00C866E7" w:rsidRDefault="00C866E7" w:rsidP="00C866E7">
      <w:pPr>
        <w:numPr>
          <w:ilvl w:val="1"/>
          <w:numId w:val="13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Décider de renouveler, ajuster ou mettre fin à une collaboration en fonction des résultats obtenus.</w:t>
      </w:r>
    </w:p>
    <w:p w14:paraId="2BA74583" w14:textId="77777777" w:rsidR="00C866E7" w:rsidRPr="00C866E7" w:rsidRDefault="00C866E7" w:rsidP="00C866E7">
      <w:pPr>
        <w:numPr>
          <w:ilvl w:val="1"/>
          <w:numId w:val="13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lastRenderedPageBreak/>
        <w:t>Négocier de nouveaux termes ou conditions si nécessaire.</w:t>
      </w:r>
    </w:p>
    <w:p w14:paraId="4B227E0B" w14:textId="77777777" w:rsidR="00C866E7" w:rsidRPr="00C866E7" w:rsidRDefault="00C866E7" w:rsidP="00C866E7">
      <w:pPr>
        <w:numPr>
          <w:ilvl w:val="0"/>
          <w:numId w:val="135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Capitaliser sur les bonnes pratiques</w:t>
      </w: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054A4278" w14:textId="77777777" w:rsidR="00C866E7" w:rsidRPr="00C866E7" w:rsidRDefault="00C866E7" w:rsidP="00C866E7">
      <w:pPr>
        <w:numPr>
          <w:ilvl w:val="1"/>
          <w:numId w:val="13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Documenter les succès et les pratiques efficaces mises en œuvre avec les sous-traitants et partenaires.</w:t>
      </w:r>
    </w:p>
    <w:p w14:paraId="0CE49A3D" w14:textId="77777777" w:rsidR="00C866E7" w:rsidRPr="00C866E7" w:rsidRDefault="00C866E7" w:rsidP="00C866E7">
      <w:pPr>
        <w:numPr>
          <w:ilvl w:val="1"/>
          <w:numId w:val="13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Partager ces expériences au sein de l’organisme pour améliorer les futures collaborations.</w:t>
      </w:r>
    </w:p>
    <w:p w14:paraId="38FDC2D1" w14:textId="77777777" w:rsidR="00C866E7" w:rsidRPr="00C866E7" w:rsidRDefault="00C866E7" w:rsidP="00C866E7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C866E7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6CB5ADB9">
          <v:rect id="_x0000_i1698" style="width:0;height:.75pt" o:hrstd="t" o:hrnoshade="t" o:hr="t" fillcolor="#262626" stroked="f"/>
        </w:pict>
      </w:r>
    </w:p>
    <w:p w14:paraId="7A27AFA7" w14:textId="77777777" w:rsidR="00C866E7" w:rsidRPr="00C866E7" w:rsidRDefault="00C866E7" w:rsidP="00C866E7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6 : Assurer la traçabilité et l’archivage</w:t>
      </w:r>
    </w:p>
    <w:p w14:paraId="5F8A90CD" w14:textId="77777777" w:rsidR="00C866E7" w:rsidRPr="00C866E7" w:rsidRDefault="00C866E7" w:rsidP="00C866E7">
      <w:pPr>
        <w:numPr>
          <w:ilvl w:val="0"/>
          <w:numId w:val="136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Conserver les contrats et documents de collaboration</w:t>
      </w: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61E2017B" w14:textId="77777777" w:rsidR="00C866E7" w:rsidRPr="00C866E7" w:rsidRDefault="00C866E7" w:rsidP="00C866E7">
      <w:pPr>
        <w:numPr>
          <w:ilvl w:val="1"/>
          <w:numId w:val="13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Archiver les contrats, avenants et documents relatifs à la collaboration.</w:t>
      </w:r>
    </w:p>
    <w:p w14:paraId="365FB2F0" w14:textId="77777777" w:rsidR="00C866E7" w:rsidRPr="00C866E7" w:rsidRDefault="00C866E7" w:rsidP="00C866E7">
      <w:pPr>
        <w:numPr>
          <w:ilvl w:val="1"/>
          <w:numId w:val="13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Tenir un registre des sous-traitants et partenaires avec leurs évaluations.</w:t>
      </w:r>
    </w:p>
    <w:p w14:paraId="10606035" w14:textId="77777777" w:rsidR="00C866E7" w:rsidRPr="00C866E7" w:rsidRDefault="00C866E7" w:rsidP="00C866E7">
      <w:pPr>
        <w:numPr>
          <w:ilvl w:val="0"/>
          <w:numId w:val="136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Documenter les évaluations et suivis</w:t>
      </w: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5C577B83" w14:textId="77777777" w:rsidR="00C866E7" w:rsidRPr="00C866E7" w:rsidRDefault="00C866E7" w:rsidP="00C866E7">
      <w:pPr>
        <w:numPr>
          <w:ilvl w:val="1"/>
          <w:numId w:val="13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Archiver les rapports d’évaluation des prestations et les bilans de collaboration.</w:t>
      </w:r>
    </w:p>
    <w:p w14:paraId="232A3B84" w14:textId="77777777" w:rsidR="00C866E7" w:rsidRPr="00C866E7" w:rsidRDefault="00C866E7" w:rsidP="00C866E7">
      <w:pPr>
        <w:numPr>
          <w:ilvl w:val="1"/>
          <w:numId w:val="13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Conserver les comptes rendus de réunions et les suivis d’actions.</w:t>
      </w:r>
    </w:p>
    <w:p w14:paraId="2639F226" w14:textId="77777777" w:rsidR="00C866E7" w:rsidRPr="00C866E7" w:rsidRDefault="00C866E7" w:rsidP="00C866E7">
      <w:pPr>
        <w:numPr>
          <w:ilvl w:val="0"/>
          <w:numId w:val="136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Assurer la confidentialité et la sécurité des données</w:t>
      </w: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180B6251" w14:textId="77777777" w:rsidR="00C866E7" w:rsidRPr="00C866E7" w:rsidRDefault="00C866E7" w:rsidP="00C866E7">
      <w:pPr>
        <w:numPr>
          <w:ilvl w:val="1"/>
          <w:numId w:val="13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Mettre en place des mesures pour protéger les informations sensibles partagées avec les sous-traitants.</w:t>
      </w:r>
    </w:p>
    <w:p w14:paraId="07C76DFC" w14:textId="77777777" w:rsidR="00C866E7" w:rsidRPr="00C866E7" w:rsidRDefault="00C866E7" w:rsidP="00C866E7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C866E7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10D6847A">
          <v:rect id="_x0000_i1699" style="width:0;height:.75pt" o:hrstd="t" o:hrnoshade="t" o:hr="t" fillcolor="#262626" stroked="f"/>
        </w:pict>
      </w:r>
    </w:p>
    <w:p w14:paraId="08D304A3" w14:textId="77777777" w:rsidR="00C866E7" w:rsidRPr="00C866E7" w:rsidRDefault="00C866E7" w:rsidP="00C866E7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Exemples de preuves à fournir lors d’un audit</w:t>
      </w:r>
    </w:p>
    <w:p w14:paraId="22659B83" w14:textId="77777777" w:rsidR="00C866E7" w:rsidRPr="00C866E7" w:rsidRDefault="00C866E7" w:rsidP="00C866E7">
      <w:pPr>
        <w:numPr>
          <w:ilvl w:val="0"/>
          <w:numId w:val="13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Contrats et documents de collaboration avec les sous-traitants et partenaires.</w:t>
      </w:r>
    </w:p>
    <w:p w14:paraId="2F0BB035" w14:textId="77777777" w:rsidR="00C866E7" w:rsidRPr="00C866E7" w:rsidRDefault="00C866E7" w:rsidP="00C866E7">
      <w:pPr>
        <w:numPr>
          <w:ilvl w:val="0"/>
          <w:numId w:val="13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Indicateurs de performance utilisés pour évaluer les prestations.</w:t>
      </w:r>
    </w:p>
    <w:p w14:paraId="6E739CE5" w14:textId="77777777" w:rsidR="00C866E7" w:rsidRPr="00C866E7" w:rsidRDefault="00C866E7" w:rsidP="00C866E7">
      <w:pPr>
        <w:numPr>
          <w:ilvl w:val="0"/>
          <w:numId w:val="13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Rapports d’évaluation des prestations sous-traitées.</w:t>
      </w:r>
    </w:p>
    <w:p w14:paraId="6456ED82" w14:textId="77777777" w:rsidR="00C866E7" w:rsidRPr="00C866E7" w:rsidRDefault="00C866E7" w:rsidP="00C866E7">
      <w:pPr>
        <w:numPr>
          <w:ilvl w:val="0"/>
          <w:numId w:val="13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Comptes rendus de réunions de suivi et de coordination.</w:t>
      </w:r>
    </w:p>
    <w:p w14:paraId="75E278DA" w14:textId="77777777" w:rsidR="00C866E7" w:rsidRPr="00C866E7" w:rsidRDefault="00C866E7" w:rsidP="00C866E7">
      <w:pPr>
        <w:numPr>
          <w:ilvl w:val="0"/>
          <w:numId w:val="13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Plan de gestion des risques lié à la sous-traitance.</w:t>
      </w:r>
    </w:p>
    <w:p w14:paraId="0C43413A" w14:textId="77777777" w:rsidR="00C866E7" w:rsidRPr="00C866E7" w:rsidRDefault="00C866E7" w:rsidP="00C866E7">
      <w:pPr>
        <w:numPr>
          <w:ilvl w:val="0"/>
          <w:numId w:val="13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lastRenderedPageBreak/>
        <w:t>Bilan de collaboration et décisions prises concernant les sous-traitants.</w:t>
      </w:r>
    </w:p>
    <w:p w14:paraId="0B2A15A1" w14:textId="77777777" w:rsidR="00C866E7" w:rsidRPr="00C866E7" w:rsidRDefault="00C866E7" w:rsidP="00C866E7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C866E7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10A4EFF3">
          <v:rect id="_x0000_i1700" style="width:0;height:.75pt" o:hrstd="t" o:hrnoshade="t" o:hr="t" fillcolor="#262626" stroked="f"/>
        </w:pict>
      </w:r>
    </w:p>
    <w:p w14:paraId="688C86DF" w14:textId="77777777" w:rsidR="00C866E7" w:rsidRPr="00C866E7" w:rsidRDefault="00C866E7" w:rsidP="00C866E7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C866E7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Conclusion</w:t>
      </w:r>
    </w:p>
    <w:p w14:paraId="721EFA7E" w14:textId="77777777" w:rsidR="00C866E7" w:rsidRPr="00C866E7" w:rsidRDefault="00C866E7" w:rsidP="00C866E7">
      <w:pPr>
        <w:shd w:val="clear" w:color="auto" w:fill="FFFFFF"/>
        <w:spacing w:after="0" w:line="360" w:lineRule="atLeast"/>
        <w:ind w:left="0" w:firstLine="0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En suivant ce processus, </w:t>
      </w:r>
      <w:r w:rsidRPr="00C866E7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CGPC</w:t>
      </w:r>
      <w:r w:rsidRPr="00C866E7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pourra garantir une maîtrise efficace des sous-traitants et partenaires impliqués dans la réalisation des prestations. </w:t>
      </w:r>
    </w:p>
    <w:p w14:paraId="1D4A7446" w14:textId="77777777" w:rsidR="00C866E7" w:rsidRDefault="00C866E7" w:rsidP="00982055">
      <w:pPr>
        <w:pStyle w:val="NormalWeb"/>
        <w:shd w:val="clear" w:color="auto" w:fill="FFFFFF"/>
        <w:spacing w:after="270" w:line="360" w:lineRule="atLeast"/>
        <w:jc w:val="center"/>
        <w:rPr>
          <w:b/>
          <w:i/>
          <w:sz w:val="40"/>
          <w:szCs w:val="40"/>
        </w:rPr>
      </w:pPr>
    </w:p>
    <w:sectPr w:rsidR="00C866E7">
      <w:headerReference w:type="even" r:id="rId7"/>
      <w:headerReference w:type="default" r:id="rId8"/>
      <w:headerReference w:type="first" r:id="rId9"/>
      <w:pgSz w:w="12240" w:h="15840"/>
      <w:pgMar w:top="1886" w:right="1436" w:bottom="158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D4B12" w14:textId="77777777" w:rsidR="002609F4" w:rsidRDefault="002609F4">
      <w:pPr>
        <w:spacing w:after="0" w:line="240" w:lineRule="auto"/>
      </w:pPr>
      <w:r>
        <w:separator/>
      </w:r>
    </w:p>
  </w:endnote>
  <w:endnote w:type="continuationSeparator" w:id="0">
    <w:p w14:paraId="6B62C1BD" w14:textId="77777777" w:rsidR="002609F4" w:rsidRDefault="0026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103DC" w14:textId="77777777" w:rsidR="002609F4" w:rsidRDefault="002609F4">
      <w:pPr>
        <w:spacing w:after="0" w:line="240" w:lineRule="auto"/>
      </w:pPr>
      <w:r>
        <w:separator/>
      </w:r>
    </w:p>
  </w:footnote>
  <w:footnote w:type="continuationSeparator" w:id="0">
    <w:p w14:paraId="3FD8E481" w14:textId="77777777" w:rsidR="002609F4" w:rsidRDefault="0026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DF8D" w14:textId="77777777" w:rsidR="006B7DFC" w:rsidRDefault="00000000">
    <w:pPr>
      <w:spacing w:after="0" w:line="259" w:lineRule="auto"/>
      <w:ind w:left="-1440" w:right="747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8720160" wp14:editId="38AB92D2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9833" cy="86868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833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E70423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2C5F0D" wp14:editId="26474A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40" name="Group 1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D0E1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066186" wp14:editId="47D80827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1199833" cy="868680"/>
              <wp:effectExtent l="0" t="0" r="0" b="0"/>
              <wp:wrapNone/>
              <wp:docPr id="1632" name="Group 1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9833" cy="868680"/>
                        <a:chOff x="0" y="0"/>
                        <a:chExt cx="1199833" cy="868680"/>
                      </a:xfrm>
                    </wpg:grpSpPr>
                    <pic:pic xmlns:pic="http://schemas.openxmlformats.org/drawingml/2006/picture">
                      <pic:nvPicPr>
                        <pic:cNvPr id="1633" name="Picture 16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833" cy="8686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2" style="width:94.475pt;height:68.4pt;position:absolute;z-index:-2147483648;mso-position-horizontal-relative:page;mso-position-horizontal:absolute;margin-left:72pt;mso-position-vertical-relative:page;margin-top:36pt;" coordsize="11998,8686">
              <v:shape id="Picture 1633" style="position:absolute;width:11998;height:8686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A7CE7" w14:textId="77777777" w:rsidR="006B7DFC" w:rsidRDefault="00000000">
    <w:pPr>
      <w:spacing w:after="0" w:line="259" w:lineRule="auto"/>
      <w:ind w:left="-1440" w:right="7475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5BD9C08" wp14:editId="1617ACE9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9833" cy="868680"/>
          <wp:effectExtent l="0" t="0" r="0" b="0"/>
          <wp:wrapSquare wrapText="bothSides"/>
          <wp:docPr id="24561670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833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E65B84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5511D7E" wp14:editId="33E5431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30" name="Group 16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305F"/>
    <w:multiLevelType w:val="multilevel"/>
    <w:tmpl w:val="CD32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C3043"/>
    <w:multiLevelType w:val="multilevel"/>
    <w:tmpl w:val="8170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E39D7"/>
    <w:multiLevelType w:val="multilevel"/>
    <w:tmpl w:val="7932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83068"/>
    <w:multiLevelType w:val="multilevel"/>
    <w:tmpl w:val="7A0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3A5E0D"/>
    <w:multiLevelType w:val="multilevel"/>
    <w:tmpl w:val="D6A6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EC5E77"/>
    <w:multiLevelType w:val="multilevel"/>
    <w:tmpl w:val="8DB0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017B68"/>
    <w:multiLevelType w:val="multilevel"/>
    <w:tmpl w:val="199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4537F6"/>
    <w:multiLevelType w:val="multilevel"/>
    <w:tmpl w:val="2F86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EB62D8"/>
    <w:multiLevelType w:val="multilevel"/>
    <w:tmpl w:val="973C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3B6DDF"/>
    <w:multiLevelType w:val="multilevel"/>
    <w:tmpl w:val="9E92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FB0BDE"/>
    <w:multiLevelType w:val="multilevel"/>
    <w:tmpl w:val="0E5E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E7255BB"/>
    <w:multiLevelType w:val="multilevel"/>
    <w:tmpl w:val="50AA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C8353D"/>
    <w:multiLevelType w:val="multilevel"/>
    <w:tmpl w:val="229C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9E2254"/>
    <w:multiLevelType w:val="multilevel"/>
    <w:tmpl w:val="4C56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4707FA"/>
    <w:multiLevelType w:val="multilevel"/>
    <w:tmpl w:val="4F7A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4A6B9E"/>
    <w:multiLevelType w:val="multilevel"/>
    <w:tmpl w:val="C760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2B25AD2"/>
    <w:multiLevelType w:val="multilevel"/>
    <w:tmpl w:val="FB3A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B11CCD"/>
    <w:multiLevelType w:val="multilevel"/>
    <w:tmpl w:val="43BC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44269F"/>
    <w:multiLevelType w:val="multilevel"/>
    <w:tmpl w:val="9738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5D7357"/>
    <w:multiLevelType w:val="multilevel"/>
    <w:tmpl w:val="5810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50C257C"/>
    <w:multiLevelType w:val="multilevel"/>
    <w:tmpl w:val="64D8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2C66CE"/>
    <w:multiLevelType w:val="multilevel"/>
    <w:tmpl w:val="4F7A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5994553"/>
    <w:multiLevelType w:val="hybridMultilevel"/>
    <w:tmpl w:val="72D4A5C4"/>
    <w:lvl w:ilvl="0" w:tplc="F2E4B8E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2CEFA4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455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DEEA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8EE3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16B5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9A54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675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C23E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8227DE1"/>
    <w:multiLevelType w:val="multilevel"/>
    <w:tmpl w:val="F8EC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8CF7CC6"/>
    <w:multiLevelType w:val="multilevel"/>
    <w:tmpl w:val="FFCA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A20637A"/>
    <w:multiLevelType w:val="multilevel"/>
    <w:tmpl w:val="2372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B717218"/>
    <w:multiLevelType w:val="multilevel"/>
    <w:tmpl w:val="B94E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BC62A09"/>
    <w:multiLevelType w:val="multilevel"/>
    <w:tmpl w:val="9738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6E04DA"/>
    <w:multiLevelType w:val="multilevel"/>
    <w:tmpl w:val="BCD0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0B0380C"/>
    <w:multiLevelType w:val="multilevel"/>
    <w:tmpl w:val="E7D0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4A74D48"/>
    <w:multiLevelType w:val="multilevel"/>
    <w:tmpl w:val="037E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61A7EBC"/>
    <w:multiLevelType w:val="multilevel"/>
    <w:tmpl w:val="7AF0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6511E10"/>
    <w:multiLevelType w:val="multilevel"/>
    <w:tmpl w:val="18BAF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681517F"/>
    <w:multiLevelType w:val="multilevel"/>
    <w:tmpl w:val="68C6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8602C49"/>
    <w:multiLevelType w:val="multilevel"/>
    <w:tmpl w:val="3E98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A095C2E"/>
    <w:multiLevelType w:val="multilevel"/>
    <w:tmpl w:val="40BC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AD13ED5"/>
    <w:multiLevelType w:val="multilevel"/>
    <w:tmpl w:val="5F34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B9A5C33"/>
    <w:multiLevelType w:val="multilevel"/>
    <w:tmpl w:val="C512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D909FC"/>
    <w:multiLevelType w:val="multilevel"/>
    <w:tmpl w:val="93E8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EDD105B"/>
    <w:multiLevelType w:val="multilevel"/>
    <w:tmpl w:val="3358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FD11DE0"/>
    <w:multiLevelType w:val="multilevel"/>
    <w:tmpl w:val="B86C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18B6D7A"/>
    <w:multiLevelType w:val="multilevel"/>
    <w:tmpl w:val="664CE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3046DA0"/>
    <w:multiLevelType w:val="multilevel"/>
    <w:tmpl w:val="B658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3AA425E"/>
    <w:multiLevelType w:val="multilevel"/>
    <w:tmpl w:val="A4329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3BE331D"/>
    <w:multiLevelType w:val="multilevel"/>
    <w:tmpl w:val="5C72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4416477"/>
    <w:multiLevelType w:val="multilevel"/>
    <w:tmpl w:val="D03A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4B547A8"/>
    <w:multiLevelType w:val="multilevel"/>
    <w:tmpl w:val="6C80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5506BFD"/>
    <w:multiLevelType w:val="multilevel"/>
    <w:tmpl w:val="118C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5D321BC"/>
    <w:multiLevelType w:val="multilevel"/>
    <w:tmpl w:val="D6B81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6AC11E4"/>
    <w:multiLevelType w:val="multilevel"/>
    <w:tmpl w:val="138E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7032BEE"/>
    <w:multiLevelType w:val="multilevel"/>
    <w:tmpl w:val="04A4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76A0AA8"/>
    <w:multiLevelType w:val="multilevel"/>
    <w:tmpl w:val="0FEC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7D64080"/>
    <w:multiLevelType w:val="multilevel"/>
    <w:tmpl w:val="7C5C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80F6596"/>
    <w:multiLevelType w:val="multilevel"/>
    <w:tmpl w:val="1584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9594C4B"/>
    <w:multiLevelType w:val="multilevel"/>
    <w:tmpl w:val="5D64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A4E733C"/>
    <w:multiLevelType w:val="multilevel"/>
    <w:tmpl w:val="332A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A66176E"/>
    <w:multiLevelType w:val="multilevel"/>
    <w:tmpl w:val="F5D81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B987D5D"/>
    <w:multiLevelType w:val="multilevel"/>
    <w:tmpl w:val="34A6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C1B0D56"/>
    <w:multiLevelType w:val="multilevel"/>
    <w:tmpl w:val="B348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DFB1953"/>
    <w:multiLevelType w:val="multilevel"/>
    <w:tmpl w:val="9288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EAC169F"/>
    <w:multiLevelType w:val="multilevel"/>
    <w:tmpl w:val="2F7A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EB4410E"/>
    <w:multiLevelType w:val="multilevel"/>
    <w:tmpl w:val="F414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03B4E15"/>
    <w:multiLevelType w:val="multilevel"/>
    <w:tmpl w:val="A72A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1D71391"/>
    <w:multiLevelType w:val="multilevel"/>
    <w:tmpl w:val="B890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548158C"/>
    <w:multiLevelType w:val="multilevel"/>
    <w:tmpl w:val="A104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64F0DC4"/>
    <w:multiLevelType w:val="multilevel"/>
    <w:tmpl w:val="9E80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69349DB"/>
    <w:multiLevelType w:val="multilevel"/>
    <w:tmpl w:val="28B6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B647249"/>
    <w:multiLevelType w:val="multilevel"/>
    <w:tmpl w:val="3FAE6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CB50709"/>
    <w:multiLevelType w:val="multilevel"/>
    <w:tmpl w:val="0BDE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CE40C3A"/>
    <w:multiLevelType w:val="multilevel"/>
    <w:tmpl w:val="5D78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DB84539"/>
    <w:multiLevelType w:val="multilevel"/>
    <w:tmpl w:val="C71A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DDF1C7B"/>
    <w:multiLevelType w:val="multilevel"/>
    <w:tmpl w:val="B474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EE15C75"/>
    <w:multiLevelType w:val="multilevel"/>
    <w:tmpl w:val="59DE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0620919"/>
    <w:multiLevelType w:val="multilevel"/>
    <w:tmpl w:val="65FA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0B921D1"/>
    <w:multiLevelType w:val="multilevel"/>
    <w:tmpl w:val="F48C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1393A38"/>
    <w:multiLevelType w:val="multilevel"/>
    <w:tmpl w:val="69FE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2956CE8"/>
    <w:multiLevelType w:val="multilevel"/>
    <w:tmpl w:val="B3CE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40455C1"/>
    <w:multiLevelType w:val="multilevel"/>
    <w:tmpl w:val="132A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4A90EEA"/>
    <w:multiLevelType w:val="multilevel"/>
    <w:tmpl w:val="A372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4D35E51"/>
    <w:multiLevelType w:val="multilevel"/>
    <w:tmpl w:val="3CE0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62177EC"/>
    <w:multiLevelType w:val="multilevel"/>
    <w:tmpl w:val="DD34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7E35610"/>
    <w:multiLevelType w:val="multilevel"/>
    <w:tmpl w:val="C840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584B0929"/>
    <w:multiLevelType w:val="multilevel"/>
    <w:tmpl w:val="5A9A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9C93298"/>
    <w:multiLevelType w:val="multilevel"/>
    <w:tmpl w:val="546E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5A7E54A8"/>
    <w:multiLevelType w:val="multilevel"/>
    <w:tmpl w:val="110E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5B406570"/>
    <w:multiLevelType w:val="multilevel"/>
    <w:tmpl w:val="690A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CE751BB"/>
    <w:multiLevelType w:val="multilevel"/>
    <w:tmpl w:val="7872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CEF036C"/>
    <w:multiLevelType w:val="multilevel"/>
    <w:tmpl w:val="D7C8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DA547ED"/>
    <w:multiLevelType w:val="multilevel"/>
    <w:tmpl w:val="20F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DB1126B"/>
    <w:multiLevelType w:val="multilevel"/>
    <w:tmpl w:val="B068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DFD78E4"/>
    <w:multiLevelType w:val="multilevel"/>
    <w:tmpl w:val="2BD4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5EC31804"/>
    <w:multiLevelType w:val="multilevel"/>
    <w:tmpl w:val="F058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5F0C1D06"/>
    <w:multiLevelType w:val="multilevel"/>
    <w:tmpl w:val="2A42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F0F7EE8"/>
    <w:multiLevelType w:val="multilevel"/>
    <w:tmpl w:val="DE68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5F980488"/>
    <w:multiLevelType w:val="multilevel"/>
    <w:tmpl w:val="2C18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0513D7D"/>
    <w:multiLevelType w:val="multilevel"/>
    <w:tmpl w:val="5D1C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1DB668B"/>
    <w:multiLevelType w:val="multilevel"/>
    <w:tmpl w:val="4EEA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33E13AA"/>
    <w:multiLevelType w:val="multilevel"/>
    <w:tmpl w:val="4228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65F82B94"/>
    <w:multiLevelType w:val="multilevel"/>
    <w:tmpl w:val="1BE8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6127FED"/>
    <w:multiLevelType w:val="multilevel"/>
    <w:tmpl w:val="E5F0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7520539"/>
    <w:multiLevelType w:val="multilevel"/>
    <w:tmpl w:val="F5D2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7F859DD"/>
    <w:multiLevelType w:val="multilevel"/>
    <w:tmpl w:val="89B0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82B03D9"/>
    <w:multiLevelType w:val="multilevel"/>
    <w:tmpl w:val="9C50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8AE2EF6"/>
    <w:multiLevelType w:val="multilevel"/>
    <w:tmpl w:val="794C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68B53E37"/>
    <w:multiLevelType w:val="multilevel"/>
    <w:tmpl w:val="23D0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9233BD8"/>
    <w:multiLevelType w:val="multilevel"/>
    <w:tmpl w:val="0A8A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A52132B"/>
    <w:multiLevelType w:val="multilevel"/>
    <w:tmpl w:val="1FA8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AE22081"/>
    <w:multiLevelType w:val="multilevel"/>
    <w:tmpl w:val="4C66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B37697B"/>
    <w:multiLevelType w:val="multilevel"/>
    <w:tmpl w:val="A288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D3E4405"/>
    <w:multiLevelType w:val="multilevel"/>
    <w:tmpl w:val="5B12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EC82EEF"/>
    <w:multiLevelType w:val="multilevel"/>
    <w:tmpl w:val="64C4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EE34B56"/>
    <w:multiLevelType w:val="multilevel"/>
    <w:tmpl w:val="E2A4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FA56A8F"/>
    <w:multiLevelType w:val="multilevel"/>
    <w:tmpl w:val="9C56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0971523"/>
    <w:multiLevelType w:val="multilevel"/>
    <w:tmpl w:val="3980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F9554A"/>
    <w:multiLevelType w:val="multilevel"/>
    <w:tmpl w:val="649C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2E1717A"/>
    <w:multiLevelType w:val="multilevel"/>
    <w:tmpl w:val="38D6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39D0EDF"/>
    <w:multiLevelType w:val="multilevel"/>
    <w:tmpl w:val="6E58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41643E0"/>
    <w:multiLevelType w:val="multilevel"/>
    <w:tmpl w:val="40DC8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4220F35"/>
    <w:multiLevelType w:val="multilevel"/>
    <w:tmpl w:val="45AE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4B74F72"/>
    <w:multiLevelType w:val="multilevel"/>
    <w:tmpl w:val="2ED0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64F7C12"/>
    <w:multiLevelType w:val="multilevel"/>
    <w:tmpl w:val="0EA6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66D7EEF"/>
    <w:multiLevelType w:val="multilevel"/>
    <w:tmpl w:val="BF96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76C539C1"/>
    <w:multiLevelType w:val="multilevel"/>
    <w:tmpl w:val="9B2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6EC025A"/>
    <w:multiLevelType w:val="multilevel"/>
    <w:tmpl w:val="D038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72B03EA"/>
    <w:multiLevelType w:val="multilevel"/>
    <w:tmpl w:val="8FBE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84079CE"/>
    <w:multiLevelType w:val="multilevel"/>
    <w:tmpl w:val="27BC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8551518"/>
    <w:multiLevelType w:val="multilevel"/>
    <w:tmpl w:val="DF7E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78A517C0"/>
    <w:multiLevelType w:val="multilevel"/>
    <w:tmpl w:val="BFCC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78B4715B"/>
    <w:multiLevelType w:val="multilevel"/>
    <w:tmpl w:val="DB0C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9A743B9"/>
    <w:multiLevelType w:val="multilevel"/>
    <w:tmpl w:val="9ECC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79BA1846"/>
    <w:multiLevelType w:val="multilevel"/>
    <w:tmpl w:val="E598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9CB4001"/>
    <w:multiLevelType w:val="multilevel"/>
    <w:tmpl w:val="371A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B4E3C6E"/>
    <w:multiLevelType w:val="multilevel"/>
    <w:tmpl w:val="FB4C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B623153"/>
    <w:multiLevelType w:val="multilevel"/>
    <w:tmpl w:val="DA38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B8D1E06"/>
    <w:multiLevelType w:val="multilevel"/>
    <w:tmpl w:val="193C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7BD442B8"/>
    <w:multiLevelType w:val="multilevel"/>
    <w:tmpl w:val="8D96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EBD64CA"/>
    <w:multiLevelType w:val="multilevel"/>
    <w:tmpl w:val="C4E8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740088">
    <w:abstractNumId w:val="22"/>
  </w:num>
  <w:num w:numId="2" w16cid:durableId="574517071">
    <w:abstractNumId w:val="97"/>
  </w:num>
  <w:num w:numId="3" w16cid:durableId="1851992589">
    <w:abstractNumId w:val="3"/>
  </w:num>
  <w:num w:numId="4" w16cid:durableId="1878732321">
    <w:abstractNumId w:val="129"/>
  </w:num>
  <w:num w:numId="5" w16cid:durableId="1617758002">
    <w:abstractNumId w:val="103"/>
  </w:num>
  <w:num w:numId="6" w16cid:durableId="829369374">
    <w:abstractNumId w:val="54"/>
  </w:num>
  <w:num w:numId="7" w16cid:durableId="511261443">
    <w:abstractNumId w:val="61"/>
  </w:num>
  <w:num w:numId="8" w16cid:durableId="1877891663">
    <w:abstractNumId w:val="19"/>
  </w:num>
  <w:num w:numId="9" w16cid:durableId="569732432">
    <w:abstractNumId w:val="88"/>
  </w:num>
  <w:num w:numId="10" w16cid:durableId="18317008">
    <w:abstractNumId w:val="50"/>
  </w:num>
  <w:num w:numId="11" w16cid:durableId="119539958">
    <w:abstractNumId w:val="57"/>
  </w:num>
  <w:num w:numId="12" w16cid:durableId="284045674">
    <w:abstractNumId w:val="127"/>
  </w:num>
  <w:num w:numId="13" w16cid:durableId="641008042">
    <w:abstractNumId w:val="84"/>
  </w:num>
  <w:num w:numId="14" w16cid:durableId="326717390">
    <w:abstractNumId w:val="4"/>
  </w:num>
  <w:num w:numId="15" w16cid:durableId="692877424">
    <w:abstractNumId w:val="93"/>
  </w:num>
  <w:num w:numId="16" w16cid:durableId="1184906561">
    <w:abstractNumId w:val="42"/>
  </w:num>
  <w:num w:numId="17" w16cid:durableId="1622300967">
    <w:abstractNumId w:val="119"/>
  </w:num>
  <w:num w:numId="18" w16cid:durableId="1995185835">
    <w:abstractNumId w:val="2"/>
  </w:num>
  <w:num w:numId="19" w16cid:durableId="1922256794">
    <w:abstractNumId w:val="36"/>
  </w:num>
  <w:num w:numId="20" w16cid:durableId="1544756949">
    <w:abstractNumId w:val="7"/>
  </w:num>
  <w:num w:numId="21" w16cid:durableId="1278411822">
    <w:abstractNumId w:val="14"/>
  </w:num>
  <w:num w:numId="22" w16cid:durableId="286549470">
    <w:abstractNumId w:val="21"/>
  </w:num>
  <w:num w:numId="23" w16cid:durableId="1238588836">
    <w:abstractNumId w:val="107"/>
  </w:num>
  <w:num w:numId="24" w16cid:durableId="1543590611">
    <w:abstractNumId w:val="29"/>
  </w:num>
  <w:num w:numId="25" w16cid:durableId="5668530">
    <w:abstractNumId w:val="60"/>
  </w:num>
  <w:num w:numId="26" w16cid:durableId="2030182514">
    <w:abstractNumId w:val="73"/>
  </w:num>
  <w:num w:numId="27" w16cid:durableId="1797872657">
    <w:abstractNumId w:val="87"/>
  </w:num>
  <w:num w:numId="28" w16cid:durableId="219639224">
    <w:abstractNumId w:val="44"/>
  </w:num>
  <w:num w:numId="29" w16cid:durableId="2065055806">
    <w:abstractNumId w:val="110"/>
  </w:num>
  <w:num w:numId="30" w16cid:durableId="739402440">
    <w:abstractNumId w:val="59"/>
  </w:num>
  <w:num w:numId="31" w16cid:durableId="1954091913">
    <w:abstractNumId w:val="109"/>
  </w:num>
  <w:num w:numId="32" w16cid:durableId="1528445147">
    <w:abstractNumId w:val="40"/>
  </w:num>
  <w:num w:numId="33" w16cid:durableId="4138385">
    <w:abstractNumId w:val="123"/>
  </w:num>
  <w:num w:numId="34" w16cid:durableId="1727022179">
    <w:abstractNumId w:val="99"/>
  </w:num>
  <w:num w:numId="35" w16cid:durableId="2092509036">
    <w:abstractNumId w:val="77"/>
  </w:num>
  <w:num w:numId="36" w16cid:durableId="1903439913">
    <w:abstractNumId w:val="70"/>
  </w:num>
  <w:num w:numId="37" w16cid:durableId="1844777528">
    <w:abstractNumId w:val="92"/>
  </w:num>
  <w:num w:numId="38" w16cid:durableId="335377301">
    <w:abstractNumId w:val="37"/>
  </w:num>
  <w:num w:numId="39" w16cid:durableId="1702513825">
    <w:abstractNumId w:val="112"/>
  </w:num>
  <w:num w:numId="40" w16cid:durableId="2048866690">
    <w:abstractNumId w:val="18"/>
  </w:num>
  <w:num w:numId="41" w16cid:durableId="1261064394">
    <w:abstractNumId w:val="108"/>
  </w:num>
  <w:num w:numId="42" w16cid:durableId="1971471642">
    <w:abstractNumId w:val="15"/>
  </w:num>
  <w:num w:numId="43" w16cid:durableId="1585992312">
    <w:abstractNumId w:val="49"/>
  </w:num>
  <w:num w:numId="44" w16cid:durableId="1117061710">
    <w:abstractNumId w:val="133"/>
  </w:num>
  <w:num w:numId="45" w16cid:durableId="1633899881">
    <w:abstractNumId w:val="35"/>
  </w:num>
  <w:num w:numId="46" w16cid:durableId="1312634442">
    <w:abstractNumId w:val="120"/>
  </w:num>
  <w:num w:numId="47" w16cid:durableId="1584756754">
    <w:abstractNumId w:val="98"/>
  </w:num>
  <w:num w:numId="48" w16cid:durableId="1322461681">
    <w:abstractNumId w:val="27"/>
  </w:num>
  <w:num w:numId="49" w16cid:durableId="1306817695">
    <w:abstractNumId w:val="64"/>
  </w:num>
  <w:num w:numId="50" w16cid:durableId="1550726943">
    <w:abstractNumId w:val="83"/>
  </w:num>
  <w:num w:numId="51" w16cid:durableId="819077134">
    <w:abstractNumId w:val="24"/>
  </w:num>
  <w:num w:numId="52" w16cid:durableId="420377063">
    <w:abstractNumId w:val="136"/>
  </w:num>
  <w:num w:numId="53" w16cid:durableId="1971593806">
    <w:abstractNumId w:val="125"/>
  </w:num>
  <w:num w:numId="54" w16cid:durableId="659312472">
    <w:abstractNumId w:val="72"/>
  </w:num>
  <w:num w:numId="55" w16cid:durableId="437069966">
    <w:abstractNumId w:val="31"/>
  </w:num>
  <w:num w:numId="56" w16cid:durableId="713580407">
    <w:abstractNumId w:val="132"/>
  </w:num>
  <w:num w:numId="57" w16cid:durableId="388194300">
    <w:abstractNumId w:val="13"/>
  </w:num>
  <w:num w:numId="58" w16cid:durableId="1580939830">
    <w:abstractNumId w:val="6"/>
  </w:num>
  <w:num w:numId="59" w16cid:durableId="745877979">
    <w:abstractNumId w:val="85"/>
  </w:num>
  <w:num w:numId="60" w16cid:durableId="42144721">
    <w:abstractNumId w:val="79"/>
  </w:num>
  <w:num w:numId="61" w16cid:durableId="1626034967">
    <w:abstractNumId w:val="124"/>
  </w:num>
  <w:num w:numId="62" w16cid:durableId="1128282101">
    <w:abstractNumId w:val="86"/>
  </w:num>
  <w:num w:numId="63" w16cid:durableId="1368096195">
    <w:abstractNumId w:val="102"/>
  </w:num>
  <w:num w:numId="64" w16cid:durableId="255670832">
    <w:abstractNumId w:val="114"/>
  </w:num>
  <w:num w:numId="65" w16cid:durableId="911739559">
    <w:abstractNumId w:val="8"/>
  </w:num>
  <w:num w:numId="66" w16cid:durableId="745305921">
    <w:abstractNumId w:val="69"/>
  </w:num>
  <w:num w:numId="67" w16cid:durableId="94133576">
    <w:abstractNumId w:val="80"/>
  </w:num>
  <w:num w:numId="68" w16cid:durableId="1064793588">
    <w:abstractNumId w:val="105"/>
  </w:num>
  <w:num w:numId="69" w16cid:durableId="1857503179">
    <w:abstractNumId w:val="76"/>
  </w:num>
  <w:num w:numId="70" w16cid:durableId="980229040">
    <w:abstractNumId w:val="5"/>
  </w:num>
  <w:num w:numId="71" w16cid:durableId="188884344">
    <w:abstractNumId w:val="116"/>
  </w:num>
  <w:num w:numId="72" w16cid:durableId="399796295">
    <w:abstractNumId w:val="25"/>
  </w:num>
  <w:num w:numId="73" w16cid:durableId="636840327">
    <w:abstractNumId w:val="122"/>
  </w:num>
  <w:num w:numId="74" w16cid:durableId="2004308874">
    <w:abstractNumId w:val="48"/>
  </w:num>
  <w:num w:numId="75" w16cid:durableId="1830518197">
    <w:abstractNumId w:val="17"/>
  </w:num>
  <w:num w:numId="76" w16cid:durableId="2055763263">
    <w:abstractNumId w:val="100"/>
  </w:num>
  <w:num w:numId="77" w16cid:durableId="1586302580">
    <w:abstractNumId w:val="46"/>
  </w:num>
  <w:num w:numId="78" w16cid:durableId="187649393">
    <w:abstractNumId w:val="39"/>
  </w:num>
  <w:num w:numId="79" w16cid:durableId="29572505">
    <w:abstractNumId w:val="41"/>
  </w:num>
  <w:num w:numId="80" w16cid:durableId="1281688649">
    <w:abstractNumId w:val="75"/>
  </w:num>
  <w:num w:numId="81" w16cid:durableId="1559316265">
    <w:abstractNumId w:val="23"/>
  </w:num>
  <w:num w:numId="82" w16cid:durableId="1750809299">
    <w:abstractNumId w:val="58"/>
  </w:num>
  <w:num w:numId="83" w16cid:durableId="1102408923">
    <w:abstractNumId w:val="0"/>
  </w:num>
  <w:num w:numId="84" w16cid:durableId="793060424">
    <w:abstractNumId w:val="78"/>
  </w:num>
  <w:num w:numId="85" w16cid:durableId="1263681224">
    <w:abstractNumId w:val="34"/>
  </w:num>
  <w:num w:numId="86" w16cid:durableId="206181402">
    <w:abstractNumId w:val="43"/>
  </w:num>
  <w:num w:numId="87" w16cid:durableId="1679649457">
    <w:abstractNumId w:val="90"/>
  </w:num>
  <w:num w:numId="88" w16cid:durableId="1770471460">
    <w:abstractNumId w:val="117"/>
  </w:num>
  <w:num w:numId="89" w16cid:durableId="1600142396">
    <w:abstractNumId w:val="118"/>
  </w:num>
  <w:num w:numId="90" w16cid:durableId="2016495357">
    <w:abstractNumId w:val="1"/>
  </w:num>
  <w:num w:numId="91" w16cid:durableId="291667350">
    <w:abstractNumId w:val="16"/>
  </w:num>
  <w:num w:numId="92" w16cid:durableId="1318069938">
    <w:abstractNumId w:val="63"/>
  </w:num>
  <w:num w:numId="93" w16cid:durableId="942803608">
    <w:abstractNumId w:val="66"/>
  </w:num>
  <w:num w:numId="94" w16cid:durableId="1993219339">
    <w:abstractNumId w:val="30"/>
  </w:num>
  <w:num w:numId="95" w16cid:durableId="1760176301">
    <w:abstractNumId w:val="91"/>
  </w:num>
  <w:num w:numId="96" w16cid:durableId="1094475803">
    <w:abstractNumId w:val="95"/>
  </w:num>
  <w:num w:numId="97" w16cid:durableId="396441080">
    <w:abstractNumId w:val="53"/>
  </w:num>
  <w:num w:numId="98" w16cid:durableId="394856512">
    <w:abstractNumId w:val="28"/>
  </w:num>
  <w:num w:numId="99" w16cid:durableId="390350902">
    <w:abstractNumId w:val="45"/>
  </w:num>
  <w:num w:numId="100" w16cid:durableId="745499407">
    <w:abstractNumId w:val="115"/>
  </w:num>
  <w:num w:numId="101" w16cid:durableId="374887354">
    <w:abstractNumId w:val="101"/>
  </w:num>
  <w:num w:numId="102" w16cid:durableId="2092699462">
    <w:abstractNumId w:val="81"/>
  </w:num>
  <w:num w:numId="103" w16cid:durableId="1501888556">
    <w:abstractNumId w:val="56"/>
  </w:num>
  <w:num w:numId="104" w16cid:durableId="182859931">
    <w:abstractNumId w:val="71"/>
  </w:num>
  <w:num w:numId="105" w16cid:durableId="1802455871">
    <w:abstractNumId w:val="62"/>
  </w:num>
  <w:num w:numId="106" w16cid:durableId="700323200">
    <w:abstractNumId w:val="111"/>
  </w:num>
  <w:num w:numId="107" w16cid:durableId="357194333">
    <w:abstractNumId w:val="20"/>
  </w:num>
  <w:num w:numId="108" w16cid:durableId="1895658871">
    <w:abstractNumId w:val="134"/>
  </w:num>
  <w:num w:numId="109" w16cid:durableId="1392191775">
    <w:abstractNumId w:val="51"/>
  </w:num>
  <w:num w:numId="110" w16cid:durableId="685860825">
    <w:abstractNumId w:val="12"/>
  </w:num>
  <w:num w:numId="111" w16cid:durableId="215750290">
    <w:abstractNumId w:val="52"/>
  </w:num>
  <w:num w:numId="112" w16cid:durableId="1533611611">
    <w:abstractNumId w:val="32"/>
  </w:num>
  <w:num w:numId="113" w16cid:durableId="701056334">
    <w:abstractNumId w:val="106"/>
  </w:num>
  <w:num w:numId="114" w16cid:durableId="1332026796">
    <w:abstractNumId w:val="128"/>
  </w:num>
  <w:num w:numId="115" w16cid:durableId="1823304514">
    <w:abstractNumId w:val="131"/>
  </w:num>
  <w:num w:numId="116" w16cid:durableId="1681160662">
    <w:abstractNumId w:val="10"/>
  </w:num>
  <w:num w:numId="117" w16cid:durableId="1866558803">
    <w:abstractNumId w:val="47"/>
  </w:num>
  <w:num w:numId="118" w16cid:durableId="1895307608">
    <w:abstractNumId w:val="74"/>
  </w:num>
  <w:num w:numId="119" w16cid:durableId="1613243019">
    <w:abstractNumId w:val="104"/>
  </w:num>
  <w:num w:numId="120" w16cid:durableId="80685224">
    <w:abstractNumId w:val="89"/>
  </w:num>
  <w:num w:numId="121" w16cid:durableId="1362173048">
    <w:abstractNumId w:val="96"/>
  </w:num>
  <w:num w:numId="122" w16cid:durableId="1709407139">
    <w:abstractNumId w:val="94"/>
  </w:num>
  <w:num w:numId="123" w16cid:durableId="761950887">
    <w:abstractNumId w:val="121"/>
  </w:num>
  <w:num w:numId="124" w16cid:durableId="939485466">
    <w:abstractNumId w:val="26"/>
  </w:num>
  <w:num w:numId="125" w16cid:durableId="2005860538">
    <w:abstractNumId w:val="9"/>
  </w:num>
  <w:num w:numId="126" w16cid:durableId="1280987537">
    <w:abstractNumId w:val="11"/>
  </w:num>
  <w:num w:numId="127" w16cid:durableId="1438327619">
    <w:abstractNumId w:val="130"/>
  </w:num>
  <w:num w:numId="128" w16cid:durableId="1957562128">
    <w:abstractNumId w:val="113"/>
  </w:num>
  <w:num w:numId="129" w16cid:durableId="1654943290">
    <w:abstractNumId w:val="33"/>
  </w:num>
  <w:num w:numId="130" w16cid:durableId="800876900">
    <w:abstractNumId w:val="126"/>
  </w:num>
  <w:num w:numId="131" w16cid:durableId="441996299">
    <w:abstractNumId w:val="65"/>
  </w:num>
  <w:num w:numId="132" w16cid:durableId="979504196">
    <w:abstractNumId w:val="135"/>
  </w:num>
  <w:num w:numId="133" w16cid:durableId="2021928327">
    <w:abstractNumId w:val="67"/>
  </w:num>
  <w:num w:numId="134" w16cid:durableId="1385834475">
    <w:abstractNumId w:val="68"/>
  </w:num>
  <w:num w:numId="135" w16cid:durableId="1892956956">
    <w:abstractNumId w:val="38"/>
  </w:num>
  <w:num w:numId="136" w16cid:durableId="1485851330">
    <w:abstractNumId w:val="82"/>
  </w:num>
  <w:num w:numId="137" w16cid:durableId="1924215810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FC"/>
    <w:rsid w:val="00014440"/>
    <w:rsid w:val="000A7CCB"/>
    <w:rsid w:val="0023295F"/>
    <w:rsid w:val="002609F4"/>
    <w:rsid w:val="002A694F"/>
    <w:rsid w:val="0030521A"/>
    <w:rsid w:val="00310C7D"/>
    <w:rsid w:val="00397F4B"/>
    <w:rsid w:val="003E6DD5"/>
    <w:rsid w:val="004215B5"/>
    <w:rsid w:val="00466F41"/>
    <w:rsid w:val="00495865"/>
    <w:rsid w:val="004C363E"/>
    <w:rsid w:val="00557A3C"/>
    <w:rsid w:val="00605C5B"/>
    <w:rsid w:val="00636E91"/>
    <w:rsid w:val="0064273E"/>
    <w:rsid w:val="006B0333"/>
    <w:rsid w:val="006B7DFC"/>
    <w:rsid w:val="00713A6E"/>
    <w:rsid w:val="007159E6"/>
    <w:rsid w:val="00745582"/>
    <w:rsid w:val="00932331"/>
    <w:rsid w:val="00982055"/>
    <w:rsid w:val="00992329"/>
    <w:rsid w:val="00A25198"/>
    <w:rsid w:val="00C24B75"/>
    <w:rsid w:val="00C84ED1"/>
    <w:rsid w:val="00C866E7"/>
    <w:rsid w:val="00CD60AB"/>
    <w:rsid w:val="00D12CF3"/>
    <w:rsid w:val="00E1172A"/>
    <w:rsid w:val="00E323FB"/>
    <w:rsid w:val="00EE5D5A"/>
    <w:rsid w:val="00E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0F54"/>
  <w15:docId w15:val="{CB0D8200-A164-482D-8A7F-EA94A96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33"/>
    <w:pPr>
      <w:spacing w:after="162" w:line="288" w:lineRule="auto"/>
      <w:ind w:left="370" w:hanging="37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295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761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Duval</dc:creator>
  <cp:keywords/>
  <cp:lastModifiedBy>Renaud Duval</cp:lastModifiedBy>
  <cp:revision>2</cp:revision>
  <cp:lastPrinted>2025-06-18T10:45:00Z</cp:lastPrinted>
  <dcterms:created xsi:type="dcterms:W3CDTF">2025-06-18T16:23:00Z</dcterms:created>
  <dcterms:modified xsi:type="dcterms:W3CDTF">2025-06-18T16:23:00Z</dcterms:modified>
</cp:coreProperties>
</file>